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C3D9095" w14:textId="19383574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</w:p>
    <w:p w14:paraId="65A4C933" w14:textId="66C5A821" w:rsidR="008A332F" w:rsidRDefault="005E3BBE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2FDCE0E5" w14:textId="164AEBFD" w:rsidR="008A332F" w:rsidRPr="008A73AC" w:rsidRDefault="008C6721" w:rsidP="008A73AC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B06A64">
        <w:rPr>
          <w:rFonts w:ascii="Arial" w:hAnsi="Arial" w:cs="Arial"/>
          <w:b/>
          <w:color w:val="auto"/>
          <w:sz w:val="24"/>
          <w:szCs w:val="24"/>
        </w:rPr>
        <w:t>3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B06A64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591596B4" w:rsidR="00CA516B" w:rsidRPr="00071C70" w:rsidRDefault="007111A9" w:rsidP="007111A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color w:val="000000" w:themeColor="text1"/>
              </w:rPr>
            </w:pPr>
            <w:r w:rsidRPr="00071C70">
              <w:rPr>
                <w:rFonts w:ascii="Arial" w:hAnsi="Arial" w:cs="Arial"/>
                <w:color w:val="000000" w:themeColor="text1"/>
              </w:rPr>
              <w:t>System powiadamiania o wprowadzeniu do obrotu żywności prozdrowotnej (SPOŻ)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304EAFB" w:rsidR="00CA516B" w:rsidRPr="00071C70" w:rsidRDefault="00134D2B" w:rsidP="006822BC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71C70">
              <w:rPr>
                <w:rFonts w:ascii="Arial" w:hAnsi="Arial" w:cs="Arial"/>
                <w:color w:val="000000" w:themeColor="text1"/>
              </w:rPr>
              <w:t>Główny Inspektorat Sanitarny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11AB5FCC" w:rsidR="00CA516B" w:rsidRPr="00071C70" w:rsidRDefault="0018042D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71C70">
              <w:rPr>
                <w:rFonts w:ascii="Arial" w:hAnsi="Arial" w:cs="Arial"/>
                <w:color w:val="000000" w:themeColor="text1"/>
              </w:rPr>
              <w:t>Główny Inspektorat Sanitarny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005F4CDC" w:rsidR="00CA516B" w:rsidRPr="00071C70" w:rsidRDefault="00B01983">
            <w:pPr>
              <w:spacing w:line="276" w:lineRule="auto"/>
              <w:rPr>
                <w:rFonts w:ascii="Arial" w:hAnsi="Arial" w:cs="Arial"/>
                <w:i/>
                <w:color w:val="000000" w:themeColor="text1"/>
              </w:rPr>
            </w:pPr>
            <w:r w:rsidRPr="00071C70">
              <w:rPr>
                <w:rFonts w:ascii="Arial" w:hAnsi="Arial" w:cs="Arial"/>
                <w:color w:val="000000" w:themeColor="text1"/>
              </w:rPr>
              <w:t>-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66BB62" w14:textId="587FAF02" w:rsidR="00277E09" w:rsidRPr="00071C70" w:rsidRDefault="00F37569" w:rsidP="00277E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071C70">
              <w:rPr>
                <w:rFonts w:ascii="Arial" w:hAnsi="Arial" w:cs="Arial"/>
                <w:color w:val="000000" w:themeColor="text1"/>
              </w:rPr>
              <w:t xml:space="preserve">W </w:t>
            </w:r>
            <w:r w:rsidR="00277E09" w:rsidRPr="00071C70">
              <w:rPr>
                <w:rFonts w:ascii="Arial" w:hAnsi="Arial" w:cs="Arial"/>
                <w:color w:val="000000" w:themeColor="text1"/>
              </w:rPr>
              <w:t>ramach współfinansowania: budżet państwa – część</w:t>
            </w:r>
          </w:p>
          <w:p w14:paraId="55582688" w14:textId="3569CCF9" w:rsidR="00CA516B" w:rsidRPr="00071C70" w:rsidRDefault="00277E09" w:rsidP="00277E0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071C70">
              <w:rPr>
                <w:rFonts w:ascii="Arial" w:hAnsi="Arial" w:cs="Arial"/>
                <w:color w:val="000000" w:themeColor="text1"/>
              </w:rPr>
              <w:t>budżetowa nr 46 – Zdrowie. W ramach finansowania ze środków UE: Program Operacyjny Polska Cyfrowa, Działanie 2.1 "Wysoka dostępność i jakość e-usług publicznych"</w:t>
            </w:r>
            <w:r w:rsidR="00F37569" w:rsidRPr="00071C70"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2C22F63" w:rsidR="00CA516B" w:rsidRPr="00071C70" w:rsidRDefault="00AD3C44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71C70">
              <w:rPr>
                <w:rFonts w:ascii="Arial" w:hAnsi="Arial" w:cs="Arial"/>
                <w:color w:val="000000" w:themeColor="text1"/>
              </w:rPr>
              <w:t>12 650 770,08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6ABC9200" w:rsidR="005212C8" w:rsidRPr="00071C70" w:rsidRDefault="00C90A16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71C70">
              <w:rPr>
                <w:rFonts w:ascii="Arial" w:hAnsi="Arial" w:cs="Arial"/>
                <w:color w:val="000000" w:themeColor="text1"/>
              </w:rPr>
              <w:t>12 650 770,08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FE92F1" w14:textId="070F4137" w:rsidR="00C90A16" w:rsidRPr="00071C70" w:rsidRDefault="00C90A16" w:rsidP="00071C70">
            <w:pPr>
              <w:spacing w:after="0" w:line="256" w:lineRule="auto"/>
              <w:rPr>
                <w:rFonts w:ascii="Arial" w:hAnsi="Arial" w:cs="Arial"/>
                <w:color w:val="000000" w:themeColor="text1"/>
              </w:rPr>
            </w:pPr>
            <w:r w:rsidRPr="00071C70">
              <w:rPr>
                <w:rFonts w:ascii="Arial" w:hAnsi="Arial" w:cs="Arial"/>
                <w:color w:val="000000" w:themeColor="text1"/>
              </w:rPr>
              <w:t xml:space="preserve">Data rozpoczęcia realizacji projektu: </w:t>
            </w:r>
            <w:r w:rsidR="00C202DB" w:rsidRPr="00071C70">
              <w:rPr>
                <w:rFonts w:ascii="Arial" w:hAnsi="Arial" w:cs="Arial"/>
                <w:color w:val="000000" w:themeColor="text1"/>
              </w:rPr>
              <w:t>15</w:t>
            </w:r>
            <w:r w:rsidRPr="00071C70">
              <w:rPr>
                <w:rFonts w:ascii="Arial" w:hAnsi="Arial" w:cs="Arial"/>
                <w:color w:val="000000" w:themeColor="text1"/>
              </w:rPr>
              <w:t>.07.20</w:t>
            </w:r>
            <w:r w:rsidR="00C202DB" w:rsidRPr="00071C70">
              <w:rPr>
                <w:rFonts w:ascii="Arial" w:hAnsi="Arial" w:cs="Arial"/>
                <w:color w:val="000000" w:themeColor="text1"/>
              </w:rPr>
              <w:t>20</w:t>
            </w:r>
          </w:p>
          <w:p w14:paraId="55CE9679" w14:textId="6FF13BD2" w:rsidR="00CA516B" w:rsidRPr="00071C70" w:rsidRDefault="00C90A16" w:rsidP="00071C70">
            <w:pPr>
              <w:spacing w:after="0" w:line="256" w:lineRule="auto"/>
              <w:rPr>
                <w:rFonts w:ascii="Arial" w:hAnsi="Arial" w:cs="Arial"/>
                <w:i/>
                <w:color w:val="000000" w:themeColor="text1"/>
              </w:rPr>
            </w:pPr>
            <w:r w:rsidRPr="00071C70">
              <w:rPr>
                <w:rFonts w:ascii="Arial" w:hAnsi="Arial" w:cs="Arial"/>
                <w:color w:val="000000" w:themeColor="text1"/>
              </w:rPr>
              <w:t xml:space="preserve">Data zakończenia realizacji projektu : </w:t>
            </w:r>
            <w:r w:rsidR="00E97220" w:rsidRPr="00071C70">
              <w:rPr>
                <w:rFonts w:ascii="Arial" w:hAnsi="Arial" w:cs="Arial"/>
                <w:color w:val="000000" w:themeColor="text1"/>
              </w:rPr>
              <w:t>14</w:t>
            </w:r>
            <w:r w:rsidRPr="00071C70">
              <w:rPr>
                <w:rFonts w:ascii="Arial" w:hAnsi="Arial" w:cs="Arial"/>
                <w:color w:val="000000" w:themeColor="text1"/>
              </w:rPr>
              <w:t>.0</w:t>
            </w:r>
            <w:r w:rsidR="00E97220" w:rsidRPr="00071C70">
              <w:rPr>
                <w:rFonts w:ascii="Arial" w:hAnsi="Arial" w:cs="Arial"/>
                <w:color w:val="000000" w:themeColor="text1"/>
              </w:rPr>
              <w:t>7</w:t>
            </w:r>
            <w:r w:rsidRPr="00071C70">
              <w:rPr>
                <w:rFonts w:ascii="Arial" w:hAnsi="Arial" w:cs="Arial"/>
                <w:color w:val="000000" w:themeColor="text1"/>
              </w:rPr>
              <w:t>.202</w:t>
            </w:r>
            <w:r w:rsidR="00E97220" w:rsidRPr="00071C70">
              <w:rPr>
                <w:rFonts w:ascii="Arial" w:hAnsi="Arial" w:cs="Arial"/>
                <w:color w:val="000000" w:themeColor="text1"/>
              </w:rPr>
              <w:t>3</w:t>
            </w:r>
          </w:p>
        </w:tc>
      </w:tr>
    </w:tbl>
    <w:p w14:paraId="2E35A4F1" w14:textId="534C1509" w:rsidR="00BB3748" w:rsidRDefault="00BB3748">
      <w:pPr>
        <w:rPr>
          <w:rFonts w:ascii="Arial" w:eastAsiaTheme="majorEastAsia" w:hAnsi="Arial" w:cs="Arial"/>
          <w:b/>
          <w:sz w:val="24"/>
          <w:szCs w:val="24"/>
        </w:rPr>
      </w:pPr>
    </w:p>
    <w:p w14:paraId="30071234" w14:textId="6C69B445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474B327B" w:rsidR="004C1D48" w:rsidRPr="00C1647B" w:rsidRDefault="00DC540E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000000" w:themeColor="text1"/>
          <w:sz w:val="22"/>
          <w:szCs w:val="22"/>
        </w:rPr>
      </w:pPr>
      <w:r w:rsidRPr="00C1647B">
        <w:rPr>
          <w:rFonts w:ascii="Arial" w:hAnsi="Arial" w:cs="Arial"/>
          <w:color w:val="000000" w:themeColor="text1"/>
          <w:sz w:val="22"/>
          <w:szCs w:val="22"/>
        </w:rPr>
        <w:t>Projekt jest zgodny z obecnym otoczeniem prawnym.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071C70" w:rsidRPr="00F06E56" w14:paraId="59735F91" w14:textId="77777777" w:rsidTr="00795AFA">
        <w:tc>
          <w:tcPr>
            <w:tcW w:w="2972" w:type="dxa"/>
          </w:tcPr>
          <w:p w14:paraId="077C8D26" w14:textId="0398847A" w:rsidR="00907F6D" w:rsidRPr="00F06E56" w:rsidRDefault="00D30D48" w:rsidP="0045008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Ok. </w:t>
            </w:r>
            <w:r w:rsidR="007B77B9"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8,41</w:t>
            </w: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6AC79DA7" w14:textId="64C5B027" w:rsidR="00071880" w:rsidRPr="00F06E56" w:rsidRDefault="005548F2" w:rsidP="006948D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1. </w:t>
            </w:r>
            <w:r w:rsidR="000A5435"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0,22%</w:t>
            </w:r>
          </w:p>
          <w:p w14:paraId="4929DAC9" w14:textId="142E615C" w:rsidR="00907F6D" w:rsidRPr="00F06E56" w:rsidRDefault="005548F2" w:rsidP="006B511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2. </w:t>
            </w:r>
            <w:r w:rsidR="00C50D68"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0%</w:t>
            </w:r>
          </w:p>
        </w:tc>
        <w:tc>
          <w:tcPr>
            <w:tcW w:w="3402" w:type="dxa"/>
          </w:tcPr>
          <w:p w14:paraId="65BB31D3" w14:textId="24E58138" w:rsidR="00907F6D" w:rsidRPr="00F06E56" w:rsidRDefault="00F74246" w:rsidP="00795AF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71,3</w:t>
            </w:r>
            <w:r w:rsidR="003702BA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="00581AAA"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</w:tr>
    </w:tbl>
    <w:p w14:paraId="1B60E781" w14:textId="3A82943F" w:rsidR="008A73AC" w:rsidRDefault="008A73AC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3E7DF8EC" w14:textId="77777777" w:rsidR="008A73AC" w:rsidRDefault="008A73AC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  <w:br w:type="page"/>
      </w: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1B5EDC" w:rsidRPr="00071C70" w14:paraId="46A49B59" w14:textId="77777777" w:rsidTr="006B5117">
        <w:tc>
          <w:tcPr>
            <w:tcW w:w="2127" w:type="dxa"/>
          </w:tcPr>
          <w:p w14:paraId="206BBDB4" w14:textId="0E823606" w:rsidR="002026C9" w:rsidRPr="00F06E56" w:rsidRDefault="006E06FE" w:rsidP="00AC44B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Podpisanie umowy na wsparcie GIS w</w:t>
            </w:r>
            <w:r w:rsidR="00AC44B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realizacji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965F9" w14:textId="7F75E084" w:rsidR="002026C9" w:rsidRPr="00F06E56" w:rsidRDefault="00247663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60A9FB83" w14:textId="6E883473" w:rsidR="002026C9" w:rsidRPr="00F06E56" w:rsidRDefault="00971267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01-2021</w:t>
            </w:r>
          </w:p>
        </w:tc>
        <w:tc>
          <w:tcPr>
            <w:tcW w:w="1914" w:type="dxa"/>
          </w:tcPr>
          <w:p w14:paraId="7422CCAB" w14:textId="59E4EB5C" w:rsidR="002026C9" w:rsidRPr="00F06E56" w:rsidRDefault="008C7325" w:rsidP="00F06E56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802" w:type="dxa"/>
          </w:tcPr>
          <w:p w14:paraId="7612B487" w14:textId="6E89E0D9" w:rsidR="002026C9" w:rsidRPr="00F06E56" w:rsidRDefault="00D23C25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3946AC"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lanowany</w:t>
            </w: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(Trwają prace nad opracowaniem dokumentacji SIWZ)</w:t>
            </w:r>
          </w:p>
        </w:tc>
      </w:tr>
      <w:tr w:rsidR="001B5EDC" w:rsidRPr="00071C70" w14:paraId="702C3897" w14:textId="77777777" w:rsidTr="006B5117">
        <w:tc>
          <w:tcPr>
            <w:tcW w:w="2127" w:type="dxa"/>
          </w:tcPr>
          <w:p w14:paraId="7E72D34F" w14:textId="445F2AF6" w:rsidR="002026C9" w:rsidRPr="00F06E56" w:rsidRDefault="00122251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Podpisanie umowy na wykonanie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17669" w14:textId="0CA7E031" w:rsidR="002026C9" w:rsidRPr="00F06E56" w:rsidRDefault="00247663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1CC8659A" w14:textId="298D28C9" w:rsidR="002026C9" w:rsidRPr="00F06E56" w:rsidRDefault="00971267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914" w:type="dxa"/>
          </w:tcPr>
          <w:p w14:paraId="4EEE750C" w14:textId="446B0D2A" w:rsidR="002026C9" w:rsidRPr="00F06E56" w:rsidRDefault="008C7325" w:rsidP="00F06E56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802" w:type="dxa"/>
          </w:tcPr>
          <w:p w14:paraId="2D0D3EBA" w14:textId="3BF79B36" w:rsidR="002026C9" w:rsidRPr="00F06E56" w:rsidRDefault="00D23C25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3946AC"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lanowany</w:t>
            </w: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(Trwają prace nad opracowaniem dokumentacji SIWZ)</w:t>
            </w:r>
          </w:p>
        </w:tc>
      </w:tr>
      <w:tr w:rsidR="001B5EDC" w:rsidRPr="00071C70" w14:paraId="38219FC9" w14:textId="77777777" w:rsidTr="006B5117">
        <w:tc>
          <w:tcPr>
            <w:tcW w:w="2127" w:type="dxa"/>
          </w:tcPr>
          <w:p w14:paraId="409CAC43" w14:textId="01D0502A" w:rsidR="002026C9" w:rsidRPr="00F06E56" w:rsidRDefault="00122251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Badania preferencji użytkowników,</w:t>
            </w:r>
            <w:r w:rsidR="00F06E56"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opracowanie makiet UX i grafiki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96799" w14:textId="1F506BE1" w:rsidR="002026C9" w:rsidRPr="00F06E56" w:rsidRDefault="00247663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13582995" w14:textId="26B9BB3D" w:rsidR="00DD1E33" w:rsidRPr="00F06E56" w:rsidRDefault="00971267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01-2022</w:t>
            </w:r>
          </w:p>
        </w:tc>
        <w:tc>
          <w:tcPr>
            <w:tcW w:w="1914" w:type="dxa"/>
          </w:tcPr>
          <w:p w14:paraId="383FFA2B" w14:textId="3743F06B" w:rsidR="002026C9" w:rsidRPr="00F06E56" w:rsidRDefault="008C7325" w:rsidP="00F06E56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802" w:type="dxa"/>
          </w:tcPr>
          <w:p w14:paraId="096D1093" w14:textId="1F5B68AB" w:rsidR="002026C9" w:rsidRPr="00F06E56" w:rsidRDefault="003946AC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1B5EDC" w:rsidRPr="00071C70" w14:paraId="1E6319B5" w14:textId="77777777" w:rsidTr="006B5117">
        <w:tc>
          <w:tcPr>
            <w:tcW w:w="2127" w:type="dxa"/>
          </w:tcPr>
          <w:p w14:paraId="5830A1B4" w14:textId="15A280E5" w:rsidR="00122251" w:rsidRPr="00F06E56" w:rsidRDefault="00F57F95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Udostępnienie środowiska testowego AI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848E3" w14:textId="6B47536E" w:rsidR="00122251" w:rsidRPr="00F06E56" w:rsidRDefault="00247663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24D105C8" w14:textId="4377EACA" w:rsidR="00122251" w:rsidRPr="00F06E56" w:rsidRDefault="00971267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04-2022</w:t>
            </w:r>
          </w:p>
        </w:tc>
        <w:tc>
          <w:tcPr>
            <w:tcW w:w="1914" w:type="dxa"/>
          </w:tcPr>
          <w:p w14:paraId="01D790EB" w14:textId="32065051" w:rsidR="00122251" w:rsidRPr="00F06E56" w:rsidRDefault="008C7325" w:rsidP="00F06E56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802" w:type="dxa"/>
          </w:tcPr>
          <w:p w14:paraId="45DF30E2" w14:textId="0A75B2A7" w:rsidR="00122251" w:rsidRPr="00F06E56" w:rsidRDefault="003946AC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1B5EDC" w:rsidRPr="00071C70" w14:paraId="4355C259" w14:textId="77777777" w:rsidTr="006B5117">
        <w:tc>
          <w:tcPr>
            <w:tcW w:w="2127" w:type="dxa"/>
          </w:tcPr>
          <w:p w14:paraId="5C513438" w14:textId="3E41B291" w:rsidR="00122251" w:rsidRPr="00F06E56" w:rsidRDefault="00F57F95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Udostępnienie środowiska testowego dla pozostałych modułów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D1D2A" w14:textId="2A5881BF" w:rsidR="00122251" w:rsidRPr="00F06E56" w:rsidRDefault="00247663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53649F69" w14:textId="48E70120" w:rsidR="00122251" w:rsidRPr="00F06E56" w:rsidRDefault="00971267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07-2022</w:t>
            </w:r>
          </w:p>
        </w:tc>
        <w:tc>
          <w:tcPr>
            <w:tcW w:w="1914" w:type="dxa"/>
          </w:tcPr>
          <w:p w14:paraId="5644601A" w14:textId="1E07F31D" w:rsidR="00122251" w:rsidRPr="00F06E56" w:rsidRDefault="008C7325" w:rsidP="00F06E56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802" w:type="dxa"/>
          </w:tcPr>
          <w:p w14:paraId="1827A0EF" w14:textId="5A349734" w:rsidR="00122251" w:rsidRPr="00F06E56" w:rsidRDefault="003946AC" w:rsidP="00F06E5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1B5EDC" w:rsidRPr="00071C70" w14:paraId="2467BE35" w14:textId="77777777" w:rsidTr="006B5117">
        <w:tc>
          <w:tcPr>
            <w:tcW w:w="2127" w:type="dxa"/>
          </w:tcPr>
          <w:p w14:paraId="30B3554F" w14:textId="557A4757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Udostępnienie środowiska produkcyjnego do testów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C7E0E" w14:textId="0982699F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27DCCE6E" w14:textId="694E6344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01-2023</w:t>
            </w:r>
          </w:p>
        </w:tc>
        <w:tc>
          <w:tcPr>
            <w:tcW w:w="1914" w:type="dxa"/>
          </w:tcPr>
          <w:p w14:paraId="5CE828CD" w14:textId="3ABA742F" w:rsidR="001B5EDC" w:rsidRPr="00F06E56" w:rsidRDefault="008C7325" w:rsidP="001B5EDC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802" w:type="dxa"/>
          </w:tcPr>
          <w:p w14:paraId="51722E51" w14:textId="4C44A035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1B5EDC" w:rsidRPr="00071C70" w14:paraId="2C6AC78D" w14:textId="77777777" w:rsidTr="006B5117">
        <w:tc>
          <w:tcPr>
            <w:tcW w:w="2127" w:type="dxa"/>
          </w:tcPr>
          <w:p w14:paraId="0FD06031" w14:textId="5D74B408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Zakończenie szkoleń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3E925" w14:textId="77777777" w:rsidR="001B5EDC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 (=350)</w:t>
            </w:r>
          </w:p>
          <w:p w14:paraId="14F42B40" w14:textId="77777777" w:rsidR="001B5EDC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4. (=300)</w:t>
            </w:r>
          </w:p>
          <w:p w14:paraId="4806E355" w14:textId="762C04FF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5. (=50)</w:t>
            </w:r>
          </w:p>
        </w:tc>
        <w:tc>
          <w:tcPr>
            <w:tcW w:w="1289" w:type="dxa"/>
          </w:tcPr>
          <w:p w14:paraId="4B4C222C" w14:textId="4207627A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06-2023</w:t>
            </w:r>
          </w:p>
        </w:tc>
        <w:tc>
          <w:tcPr>
            <w:tcW w:w="1914" w:type="dxa"/>
          </w:tcPr>
          <w:p w14:paraId="42C7DA36" w14:textId="5EE96452" w:rsidR="001B5EDC" w:rsidRPr="00F06E56" w:rsidRDefault="008C7325" w:rsidP="001B5EDC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802" w:type="dxa"/>
          </w:tcPr>
          <w:p w14:paraId="080B167F" w14:textId="644AB2F8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1B5EDC" w:rsidRPr="00071C70" w14:paraId="65098203" w14:textId="77777777" w:rsidTr="006B5117">
        <w:tc>
          <w:tcPr>
            <w:tcW w:w="2127" w:type="dxa"/>
          </w:tcPr>
          <w:p w14:paraId="2743139F" w14:textId="313B8F95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Podpisanie umowy na usługi testów bezpieczeństwa i wydajności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48B9C" w14:textId="57F22504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6D7CB922" w14:textId="056E54FD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03-2023</w:t>
            </w:r>
          </w:p>
        </w:tc>
        <w:tc>
          <w:tcPr>
            <w:tcW w:w="1914" w:type="dxa"/>
          </w:tcPr>
          <w:p w14:paraId="64D748E8" w14:textId="70E01097" w:rsidR="001B5EDC" w:rsidRPr="00F06E56" w:rsidRDefault="008C7325" w:rsidP="001B5EDC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802" w:type="dxa"/>
          </w:tcPr>
          <w:p w14:paraId="3214DA5A" w14:textId="3CD07A31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1B5EDC" w:rsidRPr="00071C70" w14:paraId="12CBB64C" w14:textId="77777777" w:rsidTr="006B5117">
        <w:tc>
          <w:tcPr>
            <w:tcW w:w="2127" w:type="dxa"/>
          </w:tcPr>
          <w:p w14:paraId="797A6A29" w14:textId="5E5FD87C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Zakończenie testów bezpieczeństwa i wydajności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79EED" w14:textId="7F82F54C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1EA8EA01" w14:textId="533F0FF7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06-2023</w:t>
            </w:r>
          </w:p>
        </w:tc>
        <w:tc>
          <w:tcPr>
            <w:tcW w:w="1914" w:type="dxa"/>
          </w:tcPr>
          <w:p w14:paraId="5125DE29" w14:textId="4B0A9AC3" w:rsidR="001B5EDC" w:rsidRPr="00F06E56" w:rsidRDefault="008C7325" w:rsidP="001B5EDC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802" w:type="dxa"/>
          </w:tcPr>
          <w:p w14:paraId="34C8B4C5" w14:textId="684485BD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1B5EDC" w:rsidRPr="00071C70" w14:paraId="3B7D5859" w14:textId="77777777" w:rsidTr="006B5117">
        <w:tc>
          <w:tcPr>
            <w:tcW w:w="2127" w:type="dxa"/>
          </w:tcPr>
          <w:p w14:paraId="683E121D" w14:textId="54790187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Zakończenie promocji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9CBA9" w14:textId="5E09658F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1A16E62B" w14:textId="218BB69E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07-2023</w:t>
            </w:r>
          </w:p>
        </w:tc>
        <w:tc>
          <w:tcPr>
            <w:tcW w:w="1914" w:type="dxa"/>
          </w:tcPr>
          <w:p w14:paraId="7B88B5F1" w14:textId="60B9980A" w:rsidR="001B5EDC" w:rsidRPr="00F06E56" w:rsidRDefault="008C7325" w:rsidP="001B5EDC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802" w:type="dxa"/>
          </w:tcPr>
          <w:p w14:paraId="46B8D2D7" w14:textId="2A9E6930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1B5EDC" w:rsidRPr="00F06E56" w14:paraId="441AB6CF" w14:textId="77777777" w:rsidTr="006B5117">
        <w:tc>
          <w:tcPr>
            <w:tcW w:w="2127" w:type="dxa"/>
          </w:tcPr>
          <w:p w14:paraId="1DC0CFEB" w14:textId="31713AC5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Zakończenie realizacji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8080D" w14:textId="4D89A379" w:rsidR="001B5EDC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1. (=1)</w:t>
            </w:r>
          </w:p>
          <w:p w14:paraId="521AE128" w14:textId="34512B9B" w:rsidR="001B5EDC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 (=1)</w:t>
            </w:r>
          </w:p>
          <w:p w14:paraId="33803578" w14:textId="6668B905" w:rsidR="001B5EDC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6. (=8000)</w:t>
            </w:r>
          </w:p>
          <w:p w14:paraId="08F51E73" w14:textId="5A8EF11F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7. (=1)</w:t>
            </w:r>
          </w:p>
        </w:tc>
        <w:tc>
          <w:tcPr>
            <w:tcW w:w="1289" w:type="dxa"/>
          </w:tcPr>
          <w:p w14:paraId="3E9DDE78" w14:textId="37E56C04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07-2023</w:t>
            </w:r>
          </w:p>
        </w:tc>
        <w:tc>
          <w:tcPr>
            <w:tcW w:w="1914" w:type="dxa"/>
          </w:tcPr>
          <w:p w14:paraId="496C8061" w14:textId="03835752" w:rsidR="001B5EDC" w:rsidRPr="00F06E56" w:rsidRDefault="008C7325" w:rsidP="001B5EDC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2802" w:type="dxa"/>
          </w:tcPr>
          <w:p w14:paraId="6285DA75" w14:textId="026EFEF1" w:rsidR="001B5EDC" w:rsidRPr="00F06E56" w:rsidRDefault="001B5EDC" w:rsidP="001B5ED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</w:tbl>
    <w:p w14:paraId="6696280B" w14:textId="77777777" w:rsidR="008A73AC" w:rsidRDefault="008A73AC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A3EDA4B" w14:textId="77777777" w:rsidR="008A73AC" w:rsidRDefault="008A73A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64ADCCB0" w14:textId="298B2608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2D59A26" w:rsidR="00047D9D" w:rsidRPr="00141A92" w:rsidRDefault="008C7325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4D269E" w:rsidRPr="00071C70" w14:paraId="76647581" w14:textId="77777777" w:rsidTr="00047D9D">
        <w:tc>
          <w:tcPr>
            <w:tcW w:w="2545" w:type="dxa"/>
          </w:tcPr>
          <w:p w14:paraId="5040D4D0" w14:textId="2A02228A" w:rsidR="004D269E" w:rsidRPr="00071C70" w:rsidRDefault="003C7A59" w:rsidP="00D966F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1. </w:t>
            </w:r>
            <w:r w:rsidR="00D966F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usług publicznych udostępnionych on-line o stopniu dojrzałości co najmniej 4 - transakcja</w:t>
            </w:r>
          </w:p>
        </w:tc>
        <w:tc>
          <w:tcPr>
            <w:tcW w:w="1278" w:type="dxa"/>
          </w:tcPr>
          <w:p w14:paraId="623114B7" w14:textId="5B1BF26C" w:rsidR="004D269E" w:rsidRPr="00071C70" w:rsidRDefault="00100893" w:rsidP="006A60A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</w:t>
            </w:r>
            <w:r w:rsidR="00D966F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842" w:type="dxa"/>
          </w:tcPr>
          <w:p w14:paraId="0FF49291" w14:textId="2DCC0575" w:rsidR="004D269E" w:rsidRPr="00071C70" w:rsidRDefault="00D966FF" w:rsidP="006A60A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4A76F3C" w14:textId="1343EC96" w:rsidR="004D269E" w:rsidRPr="00071C70" w:rsidRDefault="00D35093" w:rsidP="006A60AA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07.2023</w:t>
            </w:r>
          </w:p>
        </w:tc>
        <w:tc>
          <w:tcPr>
            <w:tcW w:w="2268" w:type="dxa"/>
          </w:tcPr>
          <w:p w14:paraId="1663313C" w14:textId="06FA384B" w:rsidR="004D269E" w:rsidRPr="00071C70" w:rsidRDefault="00D966FF" w:rsidP="006A60A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4D269E" w:rsidRPr="00071C70" w14:paraId="26F5A7FF" w14:textId="77777777" w:rsidTr="00047D9D">
        <w:tc>
          <w:tcPr>
            <w:tcW w:w="2545" w:type="dxa"/>
          </w:tcPr>
          <w:p w14:paraId="39BC7C28" w14:textId="310FF7DA" w:rsidR="004D269E" w:rsidRPr="00071C70" w:rsidRDefault="003C7A59" w:rsidP="00F06E5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2. </w:t>
            </w:r>
            <w:r w:rsidR="00D966F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uruchomionych systemów teleinformatycznych w podmiotach</w:t>
            </w:r>
            <w:r w:rsid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D966F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wykonujących zadania publiczne</w:t>
            </w:r>
          </w:p>
        </w:tc>
        <w:tc>
          <w:tcPr>
            <w:tcW w:w="1278" w:type="dxa"/>
          </w:tcPr>
          <w:p w14:paraId="0EF3E486" w14:textId="7D3C49AF" w:rsidR="004D269E" w:rsidRPr="00071C70" w:rsidRDefault="00100893" w:rsidP="006A60A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</w:t>
            </w:r>
            <w:r w:rsidR="00D966F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zt</w:t>
            </w:r>
            <w:proofErr w:type="spellEnd"/>
          </w:p>
        </w:tc>
        <w:tc>
          <w:tcPr>
            <w:tcW w:w="1842" w:type="dxa"/>
          </w:tcPr>
          <w:p w14:paraId="3D92A1ED" w14:textId="65DF481A" w:rsidR="004D269E" w:rsidRPr="00071C70" w:rsidRDefault="00D966FF" w:rsidP="006A60A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D5AD23F" w14:textId="099F1C1D" w:rsidR="004D269E" w:rsidRPr="00071C70" w:rsidRDefault="00D35093" w:rsidP="006A60AA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07.2023</w:t>
            </w:r>
          </w:p>
        </w:tc>
        <w:tc>
          <w:tcPr>
            <w:tcW w:w="2268" w:type="dxa"/>
          </w:tcPr>
          <w:p w14:paraId="604089DC" w14:textId="41DE0AF3" w:rsidR="004D269E" w:rsidRPr="00071C70" w:rsidRDefault="00D966FF" w:rsidP="006A60A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4D269E" w:rsidRPr="00071C70" w14:paraId="01C22D83" w14:textId="77777777" w:rsidTr="00047D9D">
        <w:tc>
          <w:tcPr>
            <w:tcW w:w="2545" w:type="dxa"/>
          </w:tcPr>
          <w:p w14:paraId="39473157" w14:textId="59AC173E" w:rsidR="004D269E" w:rsidRPr="00071C70" w:rsidRDefault="003C7A59" w:rsidP="00F06E5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3. </w:t>
            </w:r>
            <w:r w:rsidR="005B746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pracowników podmiotów wykonujących zadania publiczne</w:t>
            </w:r>
            <w:r w:rsid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5B746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nie będących pracownikami IT, objętych wsparciem szkoleniowym</w:t>
            </w:r>
          </w:p>
        </w:tc>
        <w:tc>
          <w:tcPr>
            <w:tcW w:w="1278" w:type="dxa"/>
          </w:tcPr>
          <w:p w14:paraId="7B3CAA86" w14:textId="105FDE04" w:rsidR="004D269E" w:rsidRPr="00071C70" w:rsidRDefault="00100893" w:rsidP="006A60A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="005B746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soby</w:t>
            </w:r>
          </w:p>
        </w:tc>
        <w:tc>
          <w:tcPr>
            <w:tcW w:w="1842" w:type="dxa"/>
          </w:tcPr>
          <w:p w14:paraId="6166C14D" w14:textId="2004282B" w:rsidR="004D269E" w:rsidRPr="00071C70" w:rsidRDefault="005B7464" w:rsidP="006A60A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350</w:t>
            </w:r>
          </w:p>
        </w:tc>
        <w:tc>
          <w:tcPr>
            <w:tcW w:w="1701" w:type="dxa"/>
          </w:tcPr>
          <w:p w14:paraId="3E129318" w14:textId="38063CA8" w:rsidR="004D269E" w:rsidRPr="00071C70" w:rsidRDefault="00D35093" w:rsidP="006A60AA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07.2023</w:t>
            </w:r>
          </w:p>
        </w:tc>
        <w:tc>
          <w:tcPr>
            <w:tcW w:w="2268" w:type="dxa"/>
          </w:tcPr>
          <w:p w14:paraId="69A1DDAD" w14:textId="5A85AEE5" w:rsidR="004D269E" w:rsidRPr="00071C70" w:rsidRDefault="005B7464" w:rsidP="006A60A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5B7464" w:rsidRPr="00071C70" w14:paraId="70CC31B7" w14:textId="77777777" w:rsidTr="00047D9D">
        <w:tc>
          <w:tcPr>
            <w:tcW w:w="2545" w:type="dxa"/>
          </w:tcPr>
          <w:p w14:paraId="13D7FBB0" w14:textId="28B3F182" w:rsidR="005B7464" w:rsidRPr="00071C70" w:rsidRDefault="003C7A59" w:rsidP="00F06E5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4. </w:t>
            </w:r>
            <w:r w:rsidR="005B746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pracowników podmiotów wykonujących zadania publiczne</w:t>
            </w:r>
            <w:r w:rsid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5B746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niebędących pracownikami IT, objętych wsparciem szkoleniowym -</w:t>
            </w:r>
            <w:r w:rsid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5B746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kobiety</w:t>
            </w:r>
          </w:p>
        </w:tc>
        <w:tc>
          <w:tcPr>
            <w:tcW w:w="1278" w:type="dxa"/>
          </w:tcPr>
          <w:p w14:paraId="5FDF4A6E" w14:textId="2C758643" w:rsidR="005B7464" w:rsidRPr="00071C70" w:rsidRDefault="00100893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="005B746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soby</w:t>
            </w:r>
          </w:p>
        </w:tc>
        <w:tc>
          <w:tcPr>
            <w:tcW w:w="1842" w:type="dxa"/>
          </w:tcPr>
          <w:p w14:paraId="14374058" w14:textId="2ABC3140" w:rsidR="005B7464" w:rsidRPr="00071C70" w:rsidRDefault="005B7464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300</w:t>
            </w:r>
          </w:p>
        </w:tc>
        <w:tc>
          <w:tcPr>
            <w:tcW w:w="1701" w:type="dxa"/>
          </w:tcPr>
          <w:p w14:paraId="26AC3667" w14:textId="6251D4BE" w:rsidR="005B7464" w:rsidRPr="00071C70" w:rsidRDefault="00D35093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07.2023</w:t>
            </w:r>
          </w:p>
        </w:tc>
        <w:tc>
          <w:tcPr>
            <w:tcW w:w="2268" w:type="dxa"/>
          </w:tcPr>
          <w:p w14:paraId="37AFDD5E" w14:textId="10BA2152" w:rsidR="005B7464" w:rsidRPr="00071C70" w:rsidRDefault="005B7464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5B7464" w:rsidRPr="00071C70" w14:paraId="65CC0729" w14:textId="77777777" w:rsidTr="00047D9D">
        <w:tc>
          <w:tcPr>
            <w:tcW w:w="2545" w:type="dxa"/>
          </w:tcPr>
          <w:p w14:paraId="54DF1B25" w14:textId="49D6E67C" w:rsidR="005B7464" w:rsidRPr="00071C70" w:rsidRDefault="003C7A59" w:rsidP="00F06E5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5. </w:t>
            </w:r>
            <w:r w:rsidR="005B746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pracowników podmiotów wykonujących zadania publiczne</w:t>
            </w:r>
            <w:r w:rsid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5B746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niebędących pracownikami IT, objętych wsparciem szkoleniowym -</w:t>
            </w:r>
            <w:r w:rsid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5B746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mężczyźni</w:t>
            </w:r>
          </w:p>
        </w:tc>
        <w:tc>
          <w:tcPr>
            <w:tcW w:w="1278" w:type="dxa"/>
          </w:tcPr>
          <w:p w14:paraId="0E214FA2" w14:textId="7EFD9A0B" w:rsidR="005B7464" w:rsidRPr="00071C70" w:rsidRDefault="00100893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="005B746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soby</w:t>
            </w:r>
          </w:p>
        </w:tc>
        <w:tc>
          <w:tcPr>
            <w:tcW w:w="1842" w:type="dxa"/>
          </w:tcPr>
          <w:p w14:paraId="2EF8B0A0" w14:textId="547071EB" w:rsidR="005B7464" w:rsidRPr="00071C70" w:rsidRDefault="005B7464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14:paraId="159CBB80" w14:textId="785B6373" w:rsidR="005B7464" w:rsidRPr="00071C70" w:rsidRDefault="00D35093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07.2023</w:t>
            </w:r>
          </w:p>
        </w:tc>
        <w:tc>
          <w:tcPr>
            <w:tcW w:w="2268" w:type="dxa"/>
          </w:tcPr>
          <w:p w14:paraId="38D1DB04" w14:textId="78CF1C2F" w:rsidR="005B7464" w:rsidRPr="00071C70" w:rsidRDefault="005B7464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C47D8C" w:rsidRPr="00071C70" w14:paraId="601487B8" w14:textId="77777777" w:rsidTr="00047D9D">
        <w:tc>
          <w:tcPr>
            <w:tcW w:w="2545" w:type="dxa"/>
          </w:tcPr>
          <w:p w14:paraId="72974B02" w14:textId="417FCBE1" w:rsidR="00C47D8C" w:rsidRPr="00071C70" w:rsidRDefault="003C7A59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6. </w:t>
            </w:r>
            <w:r w:rsidR="00C47D8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załatwionych spraw poprzez udostępnioną on-line usług</w:t>
            </w:r>
            <w:r w:rsidR="00F06E5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 </w:t>
            </w:r>
            <w:r w:rsidR="00C47D8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publiczną</w:t>
            </w:r>
          </w:p>
        </w:tc>
        <w:tc>
          <w:tcPr>
            <w:tcW w:w="1278" w:type="dxa"/>
          </w:tcPr>
          <w:p w14:paraId="312576E0" w14:textId="1C26BF9F" w:rsidR="00C47D8C" w:rsidRPr="00071C70" w:rsidRDefault="003131AE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szt./rok</w:t>
            </w:r>
          </w:p>
        </w:tc>
        <w:tc>
          <w:tcPr>
            <w:tcW w:w="1842" w:type="dxa"/>
          </w:tcPr>
          <w:p w14:paraId="054E3FA1" w14:textId="5C7D830F" w:rsidR="00C47D8C" w:rsidRPr="00071C70" w:rsidRDefault="003131AE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8000</w:t>
            </w:r>
          </w:p>
        </w:tc>
        <w:tc>
          <w:tcPr>
            <w:tcW w:w="1701" w:type="dxa"/>
          </w:tcPr>
          <w:p w14:paraId="25EBA535" w14:textId="78E00AE0" w:rsidR="00C47D8C" w:rsidRPr="00071C70" w:rsidRDefault="00962DC4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07.2024</w:t>
            </w:r>
          </w:p>
        </w:tc>
        <w:tc>
          <w:tcPr>
            <w:tcW w:w="2268" w:type="dxa"/>
          </w:tcPr>
          <w:p w14:paraId="5C2DB20D" w14:textId="5619BAED" w:rsidR="00C47D8C" w:rsidRPr="00071C70" w:rsidRDefault="003131AE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3C47A4" w:rsidRPr="00071C70" w14:paraId="10AF32EC" w14:textId="77777777" w:rsidTr="00047D9D">
        <w:tc>
          <w:tcPr>
            <w:tcW w:w="2545" w:type="dxa"/>
          </w:tcPr>
          <w:p w14:paraId="5F5D85E5" w14:textId="44234F3D" w:rsidR="003C47A4" w:rsidRPr="00071C70" w:rsidRDefault="003C7A59" w:rsidP="00C47D8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7. </w:t>
            </w:r>
            <w:r w:rsidR="00847A8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rejestrów publicznych o poprawionej interoperacyjności</w:t>
            </w:r>
          </w:p>
        </w:tc>
        <w:tc>
          <w:tcPr>
            <w:tcW w:w="1278" w:type="dxa"/>
          </w:tcPr>
          <w:p w14:paraId="21E67CC8" w14:textId="6B54A51F" w:rsidR="003C47A4" w:rsidRPr="00071C70" w:rsidRDefault="00847A84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224DCF49" w14:textId="294F775F" w:rsidR="003C47A4" w:rsidRPr="00071C70" w:rsidRDefault="00847A84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1E15FA10" w14:textId="537AE4B7" w:rsidR="003C47A4" w:rsidRPr="00071C70" w:rsidRDefault="00847A84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07.2023</w:t>
            </w:r>
          </w:p>
        </w:tc>
        <w:tc>
          <w:tcPr>
            <w:tcW w:w="2268" w:type="dxa"/>
          </w:tcPr>
          <w:p w14:paraId="4C2709C9" w14:textId="68A33A92" w:rsidR="003C47A4" w:rsidRPr="00071C70" w:rsidRDefault="00847A84" w:rsidP="005B746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</w:tbl>
    <w:p w14:paraId="0F42B192" w14:textId="77777777" w:rsidR="008A73AC" w:rsidRDefault="008A73AC">
      <w:pPr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br w:type="page"/>
      </w:r>
    </w:p>
    <w:p w14:paraId="52A08447" w14:textId="5FEFD81D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71C70" w:rsidRPr="00071C70" w14:paraId="066D88A5" w14:textId="77777777" w:rsidTr="00517F12">
        <w:tc>
          <w:tcPr>
            <w:tcW w:w="2937" w:type="dxa"/>
          </w:tcPr>
          <w:p w14:paraId="21262D83" w14:textId="0B0FA822" w:rsidR="007D38BD" w:rsidRPr="00071C70" w:rsidRDefault="00AD16FE" w:rsidP="00C1106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Powiadamianie o wprowadzeniu do obrotu żywności prozdrowotnej</w:t>
            </w:r>
          </w:p>
        </w:tc>
        <w:tc>
          <w:tcPr>
            <w:tcW w:w="1169" w:type="dxa"/>
          </w:tcPr>
          <w:p w14:paraId="016C9765" w14:textId="65DD0394" w:rsidR="007D38BD" w:rsidRPr="00071C70" w:rsidRDefault="00D308A9" w:rsidP="00672B5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07-2023</w:t>
            </w:r>
          </w:p>
        </w:tc>
        <w:tc>
          <w:tcPr>
            <w:tcW w:w="1134" w:type="dxa"/>
          </w:tcPr>
          <w:p w14:paraId="3DF8A089" w14:textId="29502AB6" w:rsidR="007D38BD" w:rsidRPr="00071C70" w:rsidRDefault="008C7325" w:rsidP="00C1106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394" w:type="dxa"/>
          </w:tcPr>
          <w:p w14:paraId="7DE99E5E" w14:textId="44BAFB6F" w:rsidR="007D38BD" w:rsidRPr="00071C70" w:rsidRDefault="00C133C1" w:rsidP="00D308A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71C70" w:rsidRPr="00071C70" w14:paraId="153EA8F3" w14:textId="77777777" w:rsidTr="00C6751B">
        <w:tc>
          <w:tcPr>
            <w:tcW w:w="2937" w:type="dxa"/>
          </w:tcPr>
          <w:p w14:paraId="46265E90" w14:textId="7907A995" w:rsidR="00C6751B" w:rsidRPr="00071C70" w:rsidRDefault="00EF411B" w:rsidP="00C6751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169" w:type="dxa"/>
          </w:tcPr>
          <w:p w14:paraId="6D7C5935" w14:textId="38F0D21A" w:rsidR="00C6751B" w:rsidRPr="00071C70" w:rsidRDefault="008C7325" w:rsidP="00EF411B">
            <w:pPr>
              <w:ind w:left="4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6773D50" w14:textId="09B91128" w:rsidR="00C6751B" w:rsidRPr="00071C70" w:rsidRDefault="008C7325" w:rsidP="00C6751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394" w:type="dxa"/>
          </w:tcPr>
          <w:p w14:paraId="37781807" w14:textId="1BD3D99D" w:rsidR="00C6751B" w:rsidRPr="00071C70" w:rsidRDefault="008C7325" w:rsidP="00A44EA2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34DD" w:rsidRPr="00071C70" w14:paraId="3FB4F1A2" w14:textId="77777777" w:rsidTr="006251DB">
        <w:tc>
          <w:tcPr>
            <w:tcW w:w="2547" w:type="dxa"/>
          </w:tcPr>
          <w:p w14:paraId="75BC059D" w14:textId="629365CB" w:rsidR="007F34DD" w:rsidRPr="00071C70" w:rsidRDefault="007F34DD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 analizy powiadomień (SAP)</w:t>
            </w:r>
          </w:p>
        </w:tc>
        <w:tc>
          <w:tcPr>
            <w:tcW w:w="1701" w:type="dxa"/>
          </w:tcPr>
          <w:p w14:paraId="49305C49" w14:textId="1D2E2135" w:rsidR="007F34DD" w:rsidRPr="00071C70" w:rsidRDefault="007F34DD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07-2023</w:t>
            </w:r>
          </w:p>
        </w:tc>
        <w:tc>
          <w:tcPr>
            <w:tcW w:w="1843" w:type="dxa"/>
          </w:tcPr>
          <w:p w14:paraId="5F5126EC" w14:textId="2DE5279F" w:rsidR="007F34DD" w:rsidRPr="00071C70" w:rsidRDefault="008C7325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543" w:type="dxa"/>
            <w:vMerge w:val="restart"/>
          </w:tcPr>
          <w:p w14:paraId="617167A7" w14:textId="7A7B3C26" w:rsidR="007F34DD" w:rsidRPr="007F34DD" w:rsidRDefault="007F34DD" w:rsidP="00071C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Systemy zewnętrzne względem SPOŻ, z którymi wymagana jest poprawna komunikacja w ramach SPOŻ to:</w:t>
            </w:r>
          </w:p>
          <w:p w14:paraId="5284DA85" w14:textId="77777777" w:rsidR="007F34DD" w:rsidRPr="007F34DD" w:rsidRDefault="007F34DD" w:rsidP="007F34DD">
            <w:pPr>
              <w:pStyle w:val="Akapitzlist"/>
              <w:numPr>
                <w:ilvl w:val="0"/>
                <w:numId w:val="22"/>
              </w:numPr>
              <w:ind w:left="31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F34DD">
              <w:rPr>
                <w:rFonts w:ascii="Arial" w:hAnsi="Arial" w:cs="Arial"/>
                <w:color w:val="000000" w:themeColor="text1"/>
                <w:sz w:val="20"/>
                <w:szCs w:val="20"/>
              </w:rPr>
              <w:t>Krajowy Węzeł Identyfikacji Elektronicznej</w:t>
            </w:r>
          </w:p>
          <w:p w14:paraId="4DC001A6" w14:textId="77777777" w:rsidR="007F34DD" w:rsidRPr="007F34DD" w:rsidRDefault="007F34DD" w:rsidP="007F34DD">
            <w:pPr>
              <w:pStyle w:val="Akapitzlist"/>
              <w:numPr>
                <w:ilvl w:val="0"/>
                <w:numId w:val="22"/>
              </w:numPr>
              <w:ind w:left="31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F34DD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Centralna Ewidencja i Informacja o Działalności Gospodarczej (CEIDG)</w:t>
            </w:r>
          </w:p>
          <w:p w14:paraId="5A0C1545" w14:textId="77777777" w:rsidR="007F34DD" w:rsidRPr="007F34DD" w:rsidRDefault="007F34DD" w:rsidP="007F34DD">
            <w:pPr>
              <w:pStyle w:val="Akapitzlist"/>
              <w:numPr>
                <w:ilvl w:val="0"/>
                <w:numId w:val="22"/>
              </w:numPr>
              <w:ind w:left="31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F34DD">
              <w:rPr>
                <w:rFonts w:ascii="Arial" w:hAnsi="Arial" w:cs="Arial"/>
                <w:color w:val="000000" w:themeColor="text1"/>
                <w:sz w:val="20"/>
                <w:szCs w:val="20"/>
              </w:rPr>
              <w:t>Rejestr urzędowy podziału terytorialnego Polski (TERYT)</w:t>
            </w:r>
          </w:p>
          <w:p w14:paraId="1C98DB59" w14:textId="59441C45" w:rsidR="007F34DD" w:rsidRDefault="007F34DD" w:rsidP="007F34DD">
            <w:pPr>
              <w:pStyle w:val="Akapitzlist"/>
              <w:numPr>
                <w:ilvl w:val="0"/>
                <w:numId w:val="22"/>
              </w:numPr>
              <w:ind w:left="31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F34DD">
              <w:rPr>
                <w:rFonts w:ascii="Arial" w:hAnsi="Arial" w:cs="Arial"/>
                <w:color w:val="000000" w:themeColor="text1"/>
                <w:sz w:val="20"/>
                <w:szCs w:val="20"/>
              </w:rPr>
              <w:t>Krajowy Rejestr Sądowy (KRS)</w:t>
            </w:r>
          </w:p>
          <w:p w14:paraId="24FD6E71" w14:textId="3DB9D93D" w:rsidR="0073691A" w:rsidRPr="007F34DD" w:rsidRDefault="0073691A" w:rsidP="007F34DD">
            <w:pPr>
              <w:pStyle w:val="Akapitzlist"/>
              <w:numPr>
                <w:ilvl w:val="0"/>
                <w:numId w:val="22"/>
              </w:numPr>
              <w:ind w:left="31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Portal gov.pl</w:t>
            </w:r>
          </w:p>
          <w:p w14:paraId="474F13BC" w14:textId="2F23B2A9" w:rsidR="007F34DD" w:rsidRPr="007F34DD" w:rsidRDefault="007F34DD" w:rsidP="007F34DD">
            <w:pPr>
              <w:pStyle w:val="Akapitzlist"/>
              <w:numPr>
                <w:ilvl w:val="0"/>
                <w:numId w:val="22"/>
              </w:numPr>
              <w:ind w:left="31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F34DD">
              <w:rPr>
                <w:rFonts w:ascii="Arial" w:hAnsi="Arial" w:cs="Arial"/>
                <w:color w:val="000000" w:themeColor="text1"/>
                <w:sz w:val="20"/>
                <w:szCs w:val="20"/>
              </w:rPr>
              <w:t>EZD RP</w:t>
            </w:r>
          </w:p>
        </w:tc>
      </w:tr>
      <w:tr w:rsidR="007F34DD" w:rsidRPr="00071C70" w14:paraId="4079385F" w14:textId="77777777" w:rsidTr="006251DB">
        <w:tc>
          <w:tcPr>
            <w:tcW w:w="2547" w:type="dxa"/>
          </w:tcPr>
          <w:p w14:paraId="304700DB" w14:textId="619B4D76" w:rsidR="007F34DD" w:rsidRPr="00071C70" w:rsidRDefault="007F34DD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Narzędzia do przeszukiwania publicznego rejestru żywności objętej obowiązkiem powiadamiania (PR)</w:t>
            </w:r>
          </w:p>
        </w:tc>
        <w:tc>
          <w:tcPr>
            <w:tcW w:w="1701" w:type="dxa"/>
          </w:tcPr>
          <w:p w14:paraId="2EF89525" w14:textId="0638D49E" w:rsidR="007F34DD" w:rsidRPr="00071C70" w:rsidRDefault="007F34DD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07-2023</w:t>
            </w:r>
          </w:p>
        </w:tc>
        <w:tc>
          <w:tcPr>
            <w:tcW w:w="1843" w:type="dxa"/>
          </w:tcPr>
          <w:p w14:paraId="117E8024" w14:textId="4B2DDC7F" w:rsidR="007F34DD" w:rsidRPr="00071C70" w:rsidRDefault="008C7325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3D06946F" w14:textId="77777777" w:rsidR="007F34DD" w:rsidRPr="00071C70" w:rsidRDefault="007F34DD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F34DD" w:rsidRPr="00071C70" w14:paraId="5979BE98" w14:textId="77777777" w:rsidTr="006251DB">
        <w:tc>
          <w:tcPr>
            <w:tcW w:w="2547" w:type="dxa"/>
          </w:tcPr>
          <w:p w14:paraId="4172A5FE" w14:textId="33CCA862" w:rsidR="007F34DD" w:rsidRPr="00071C70" w:rsidRDefault="007F34DD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Publiczne API rejestru żywności objętej obowiązkiem powiadamiania (PA)</w:t>
            </w:r>
          </w:p>
        </w:tc>
        <w:tc>
          <w:tcPr>
            <w:tcW w:w="1701" w:type="dxa"/>
          </w:tcPr>
          <w:p w14:paraId="6656D677" w14:textId="0DBCA2DB" w:rsidR="007F34DD" w:rsidRPr="00071C70" w:rsidRDefault="007F34DD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07-2023</w:t>
            </w:r>
          </w:p>
        </w:tc>
        <w:tc>
          <w:tcPr>
            <w:tcW w:w="1843" w:type="dxa"/>
          </w:tcPr>
          <w:p w14:paraId="2C6E813A" w14:textId="3970D6E5" w:rsidR="007F34DD" w:rsidRPr="00071C70" w:rsidRDefault="008C7325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3543" w:type="dxa"/>
            <w:vMerge/>
          </w:tcPr>
          <w:p w14:paraId="26605A6D" w14:textId="42EB9995" w:rsidR="007F34DD" w:rsidRPr="0080530D" w:rsidRDefault="007F34DD" w:rsidP="00D251F1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</w:tbl>
    <w:p w14:paraId="609ECA7F" w14:textId="77777777" w:rsidR="008A73AC" w:rsidRDefault="008A73AC">
      <w:pPr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br w:type="page"/>
      </w:r>
    </w:p>
    <w:p w14:paraId="2AC8CEEF" w14:textId="6153A2F0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071C70" w:rsidRPr="00071C70" w14:paraId="29F2AFFB" w14:textId="77777777" w:rsidTr="0034283C">
        <w:tc>
          <w:tcPr>
            <w:tcW w:w="3265" w:type="dxa"/>
          </w:tcPr>
          <w:p w14:paraId="282C06E0" w14:textId="273FF9DA" w:rsidR="0060779A" w:rsidRPr="00071C70" w:rsidRDefault="00494321" w:rsidP="00672B5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Przedłużająca się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procedura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przetargowa na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wybór wykonawcy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systemu</w:t>
            </w:r>
          </w:p>
        </w:tc>
        <w:tc>
          <w:tcPr>
            <w:tcW w:w="1697" w:type="dxa"/>
          </w:tcPr>
          <w:p w14:paraId="3C1080F0" w14:textId="22748CE8" w:rsidR="0060779A" w:rsidRPr="00071C70" w:rsidRDefault="00CA304F" w:rsidP="0060779A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14:paraId="602F4E8D" w14:textId="577BF4AC" w:rsidR="0060779A" w:rsidRPr="00071C70" w:rsidRDefault="00521CD7" w:rsidP="0060779A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Wysokie</w:t>
            </w:r>
          </w:p>
        </w:tc>
        <w:tc>
          <w:tcPr>
            <w:tcW w:w="2410" w:type="dxa"/>
          </w:tcPr>
          <w:p w14:paraId="6D04769F" w14:textId="12E572D1" w:rsidR="00494321" w:rsidRPr="00071C70" w:rsidRDefault="00494321" w:rsidP="0049432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Oddziaływanie na ryzyko- stosowanie</w:t>
            </w:r>
            <w:r w:rsidR="00396C8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spójnych i niebudzących wątpliwości</w:t>
            </w:r>
            <w:r w:rsidR="00396C8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zapisów Opisu Przedmiotu Zamówienia.</w:t>
            </w:r>
            <w:r w:rsidR="00396C8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Szybka reakcja na pojawiające się</w:t>
            </w:r>
            <w:r w:rsidR="00396C8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zapytania do dokumentacji</w:t>
            </w:r>
          </w:p>
          <w:p w14:paraId="11E56F7C" w14:textId="5F47A826" w:rsidR="0060779A" w:rsidRPr="00071C70" w:rsidRDefault="00494321" w:rsidP="0049432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przetargowej.</w:t>
            </w:r>
          </w:p>
        </w:tc>
      </w:tr>
      <w:tr w:rsidR="00071C70" w:rsidRPr="00071C70" w14:paraId="1B126E00" w14:textId="77777777" w:rsidTr="00071C70">
        <w:tc>
          <w:tcPr>
            <w:tcW w:w="3265" w:type="dxa"/>
          </w:tcPr>
          <w:p w14:paraId="57DD67B7" w14:textId="256E1EE9" w:rsidR="0060779A" w:rsidRPr="00071C70" w:rsidRDefault="006F0DBA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Wybór wykonawcy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niezdolnego do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wykonania i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wdrożenia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systemu</w:t>
            </w:r>
          </w:p>
        </w:tc>
        <w:tc>
          <w:tcPr>
            <w:tcW w:w="1697" w:type="dxa"/>
          </w:tcPr>
          <w:p w14:paraId="63E0C181" w14:textId="56FCFEA6" w:rsidR="0060779A" w:rsidRPr="00071C70" w:rsidRDefault="00CA304F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2126" w:type="dxa"/>
          </w:tcPr>
          <w:p w14:paraId="406C4C87" w14:textId="5DD48CFF" w:rsidR="0060779A" w:rsidRPr="00071C70" w:rsidRDefault="00521CD7" w:rsidP="00071C70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15C0A8A5" w14:textId="6D1FA3A6" w:rsidR="0060779A" w:rsidRPr="00071C70" w:rsidRDefault="00494321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Oddziaływanie na ryzyko- stosowanie</w:t>
            </w:r>
            <w:r w:rsidR="00396C8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kryteriów oceny ofert uwzględniających</w:t>
            </w:r>
            <w:r w:rsidR="00396C8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doświadczenie i kwalifikacje podmiotów</w:t>
            </w:r>
            <w:r w:rsidR="00396C8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ubiegających się o realizację prac.</w:t>
            </w:r>
          </w:p>
        </w:tc>
      </w:tr>
      <w:tr w:rsidR="00071C70" w:rsidRPr="00071C70" w14:paraId="1611DE05" w14:textId="77777777" w:rsidTr="00071C70">
        <w:tc>
          <w:tcPr>
            <w:tcW w:w="3265" w:type="dxa"/>
          </w:tcPr>
          <w:p w14:paraId="7F237D9B" w14:textId="56DC2FA3" w:rsidR="00093028" w:rsidRPr="00071C70" w:rsidRDefault="006F0DBA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Opóźnienia w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realizacji projektu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z winy wykonawcy</w:t>
            </w:r>
          </w:p>
        </w:tc>
        <w:tc>
          <w:tcPr>
            <w:tcW w:w="1697" w:type="dxa"/>
          </w:tcPr>
          <w:p w14:paraId="0F969D38" w14:textId="7A975B58" w:rsidR="00093028" w:rsidRPr="00071C70" w:rsidRDefault="00A273D7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Średnia</w:t>
            </w:r>
          </w:p>
        </w:tc>
        <w:tc>
          <w:tcPr>
            <w:tcW w:w="2126" w:type="dxa"/>
          </w:tcPr>
          <w:p w14:paraId="201A3534" w14:textId="19C2F21F" w:rsidR="00093028" w:rsidRPr="00071C70" w:rsidRDefault="00521CD7" w:rsidP="00071C70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2877C6C9" w14:textId="42BDCD2C" w:rsidR="00093028" w:rsidRPr="00071C70" w:rsidRDefault="000D385F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Oddziaływanie na ryzyko- umieszczenie</w:t>
            </w:r>
            <w:r w:rsidR="00396C8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w umowie z wykonawcą postanowień</w:t>
            </w:r>
            <w:r w:rsidR="00396C8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dotyczących kary umownej za</w:t>
            </w:r>
            <w:r w:rsidR="00396C8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nieterminową realizację przedmiotu</w:t>
            </w:r>
            <w:r w:rsidR="00396C8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umowy oraz bieżąca kontrola zgodności</w:t>
            </w:r>
            <w:r w:rsidR="00396C8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prac z harmonogramem.</w:t>
            </w:r>
          </w:p>
        </w:tc>
      </w:tr>
      <w:tr w:rsidR="00071C70" w:rsidRPr="00071C70" w14:paraId="7976A7DD" w14:textId="77777777" w:rsidTr="00071C70">
        <w:tc>
          <w:tcPr>
            <w:tcW w:w="3265" w:type="dxa"/>
          </w:tcPr>
          <w:p w14:paraId="164C5646" w14:textId="7C4DB9CB" w:rsidR="006F0DBA" w:rsidRPr="00071C70" w:rsidRDefault="006F0DBA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Opóźnienia w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realizacji projektu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z winy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Zamawiającego</w:t>
            </w:r>
          </w:p>
        </w:tc>
        <w:tc>
          <w:tcPr>
            <w:tcW w:w="1697" w:type="dxa"/>
          </w:tcPr>
          <w:p w14:paraId="09967B59" w14:textId="595D69CA" w:rsidR="006F0DBA" w:rsidRPr="00071C70" w:rsidRDefault="00A273D7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Mała</w:t>
            </w:r>
          </w:p>
        </w:tc>
        <w:tc>
          <w:tcPr>
            <w:tcW w:w="2126" w:type="dxa"/>
          </w:tcPr>
          <w:p w14:paraId="6D06B67C" w14:textId="10DBDF55" w:rsidR="006F0DBA" w:rsidRPr="00071C70" w:rsidRDefault="00521CD7" w:rsidP="00071C70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Znikome</w:t>
            </w:r>
          </w:p>
        </w:tc>
        <w:tc>
          <w:tcPr>
            <w:tcW w:w="2410" w:type="dxa"/>
          </w:tcPr>
          <w:p w14:paraId="359392E2" w14:textId="7EE67535" w:rsidR="000D385F" w:rsidRPr="00071C70" w:rsidRDefault="000D385F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Oddziaływanie na ryzyko- posiadanie</w:t>
            </w:r>
            <w:r w:rsidR="00396C8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odpowiedniej struktury organizacyjnej po</w:t>
            </w:r>
            <w:r w:rsidR="00396C8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stronie Zamawiającego. Ustalenie w</w:t>
            </w:r>
            <w:r w:rsidR="00396C8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harmonogramie terminów działań</w:t>
            </w:r>
            <w:r w:rsidR="00396C8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Zamawiającego. Opracowanie dla</w:t>
            </w:r>
            <w:r w:rsidR="00396C8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Zespołu Projektowego skutecznych</w:t>
            </w:r>
            <w:r w:rsidR="00396C8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narzędzi zarządzania Projektem (system</w:t>
            </w:r>
            <w:r w:rsidR="00396C8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zarządzania projektem, regulaminy,</w:t>
            </w:r>
            <w:r w:rsidR="00396C8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struktura organizacyjna, procedury).</w:t>
            </w:r>
          </w:p>
        </w:tc>
      </w:tr>
      <w:tr w:rsidR="00071C70" w:rsidRPr="00071C70" w14:paraId="58ECCB73" w14:textId="77777777" w:rsidTr="00071C70">
        <w:tc>
          <w:tcPr>
            <w:tcW w:w="3265" w:type="dxa"/>
          </w:tcPr>
          <w:p w14:paraId="075320AD" w14:textId="36DC949D" w:rsidR="006F0DBA" w:rsidRPr="00071C70" w:rsidRDefault="006F0DBA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Wystąpieni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błędów systemu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nie wykrytych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podczas testów</w:t>
            </w:r>
          </w:p>
        </w:tc>
        <w:tc>
          <w:tcPr>
            <w:tcW w:w="1697" w:type="dxa"/>
          </w:tcPr>
          <w:p w14:paraId="1B1930E4" w14:textId="22812F45" w:rsidR="006F0DBA" w:rsidRPr="00071C70" w:rsidRDefault="00A273D7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Średnia</w:t>
            </w:r>
          </w:p>
        </w:tc>
        <w:tc>
          <w:tcPr>
            <w:tcW w:w="2126" w:type="dxa"/>
          </w:tcPr>
          <w:p w14:paraId="30755C77" w14:textId="5369B70B" w:rsidR="006F0DBA" w:rsidRPr="00071C70" w:rsidRDefault="00521CD7" w:rsidP="00071C70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Znikome</w:t>
            </w:r>
          </w:p>
        </w:tc>
        <w:tc>
          <w:tcPr>
            <w:tcW w:w="2410" w:type="dxa"/>
          </w:tcPr>
          <w:p w14:paraId="21691F91" w14:textId="674D9C97" w:rsidR="00033023" w:rsidRPr="00071C70" w:rsidRDefault="00033023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Oddziaływanie na ryzyko- umieszczenie</w:t>
            </w:r>
            <w:r w:rsidR="00396C8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w umowie z wykonawcą postanowień</w:t>
            </w:r>
            <w:r w:rsidR="00396C8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dotyczących gwarancji oraz</w:t>
            </w:r>
            <w:r w:rsidR="00396C84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obowiązania do terminowego usuwania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wad systemu pod rygorem egzekucji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kary umownej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za nieterminowe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wywiązywanie się ze zobowiązań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gwarancyjnych.</w:t>
            </w:r>
          </w:p>
        </w:tc>
      </w:tr>
      <w:tr w:rsidR="00071C70" w:rsidRPr="00071C70" w14:paraId="23F74171" w14:textId="77777777" w:rsidTr="00071C70">
        <w:tc>
          <w:tcPr>
            <w:tcW w:w="3265" w:type="dxa"/>
          </w:tcPr>
          <w:p w14:paraId="6C0688E5" w14:textId="64422835" w:rsidR="006F0DBA" w:rsidRPr="00071C70" w:rsidRDefault="00D95CFD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Niedostosowanie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warstwy</w:t>
            </w:r>
            <w:r w:rsidR="00672B5F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sprzętowej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dostarczonej jako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przetwarzanie w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chmurze</w:t>
            </w:r>
          </w:p>
        </w:tc>
        <w:tc>
          <w:tcPr>
            <w:tcW w:w="1697" w:type="dxa"/>
          </w:tcPr>
          <w:p w14:paraId="51BE9DAB" w14:textId="4D0869CE" w:rsidR="006F0DBA" w:rsidRPr="00071C70" w:rsidRDefault="00A273D7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Mała</w:t>
            </w:r>
          </w:p>
        </w:tc>
        <w:tc>
          <w:tcPr>
            <w:tcW w:w="2126" w:type="dxa"/>
          </w:tcPr>
          <w:p w14:paraId="18B3994B" w14:textId="7CF636E6" w:rsidR="006F0DBA" w:rsidRPr="00071C70" w:rsidRDefault="00B67232" w:rsidP="00071C70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Znikome</w:t>
            </w:r>
          </w:p>
        </w:tc>
        <w:tc>
          <w:tcPr>
            <w:tcW w:w="2410" w:type="dxa"/>
          </w:tcPr>
          <w:p w14:paraId="3D0C8280" w14:textId="00DDF59C" w:rsidR="00033023" w:rsidRPr="00071C70" w:rsidRDefault="00033023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Oddziaływanie na ryzyko- precyzyjne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określenie potrzeb i wymagań w zakresie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technicznym i funkcjonalnym względem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dostawcy w ramach warunków udziału w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postępowaniu w SIWZ.</w:t>
            </w:r>
          </w:p>
        </w:tc>
      </w:tr>
      <w:tr w:rsidR="00071C70" w:rsidRPr="00071C70" w14:paraId="7E529D3C" w14:textId="77777777" w:rsidTr="00071C70">
        <w:tc>
          <w:tcPr>
            <w:tcW w:w="3265" w:type="dxa"/>
          </w:tcPr>
          <w:p w14:paraId="5A6C1DED" w14:textId="230CCDC4" w:rsidR="00D95CFD" w:rsidRPr="00071C70" w:rsidRDefault="00D95CFD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Problemy z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I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mplementacją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modułu AI</w:t>
            </w:r>
          </w:p>
        </w:tc>
        <w:tc>
          <w:tcPr>
            <w:tcW w:w="1697" w:type="dxa"/>
          </w:tcPr>
          <w:p w14:paraId="00C4E837" w14:textId="3B932207" w:rsidR="00D95CFD" w:rsidRPr="00071C70" w:rsidRDefault="00617CF0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Średnia</w:t>
            </w:r>
          </w:p>
        </w:tc>
        <w:tc>
          <w:tcPr>
            <w:tcW w:w="2126" w:type="dxa"/>
          </w:tcPr>
          <w:p w14:paraId="1D0D34AA" w14:textId="707CC09D" w:rsidR="00D95CFD" w:rsidRPr="00071C70" w:rsidRDefault="00B67232" w:rsidP="00071C70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1EAA1775" w14:textId="7D5C4CE1" w:rsidR="00033023" w:rsidRPr="00071C70" w:rsidRDefault="00033023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Ograniczanie ryzyka- podnoszenie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kompetencji zespołu projektowego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niezbędnych dla tworzenia, wdrażania i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korzystania z technologii opartych o AI.</w:t>
            </w:r>
          </w:p>
        </w:tc>
      </w:tr>
      <w:tr w:rsidR="00071C70" w:rsidRPr="00071C70" w14:paraId="0441D27A" w14:textId="77777777" w:rsidTr="00071C70">
        <w:tc>
          <w:tcPr>
            <w:tcW w:w="3265" w:type="dxa"/>
          </w:tcPr>
          <w:p w14:paraId="4765CA60" w14:textId="36DB4020" w:rsidR="00D95CFD" w:rsidRPr="00071C70" w:rsidRDefault="00D95CFD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Zmiana sytuacji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ekonomicznej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kraju powodująca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znaczne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zmniejszen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i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środkó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przeznaczonych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na pokrycie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wkładu z budżetu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państwa</w:t>
            </w:r>
          </w:p>
        </w:tc>
        <w:tc>
          <w:tcPr>
            <w:tcW w:w="1697" w:type="dxa"/>
          </w:tcPr>
          <w:p w14:paraId="27119042" w14:textId="38B90BEE" w:rsidR="00D95CFD" w:rsidRPr="00071C70" w:rsidRDefault="00617CF0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Mała</w:t>
            </w:r>
          </w:p>
        </w:tc>
        <w:tc>
          <w:tcPr>
            <w:tcW w:w="2126" w:type="dxa"/>
          </w:tcPr>
          <w:p w14:paraId="67D7F41D" w14:textId="085DE1CD" w:rsidR="00D95CFD" w:rsidRPr="00071C70" w:rsidRDefault="00617CF0" w:rsidP="00071C70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Znikome</w:t>
            </w:r>
          </w:p>
        </w:tc>
        <w:tc>
          <w:tcPr>
            <w:tcW w:w="2410" w:type="dxa"/>
          </w:tcPr>
          <w:p w14:paraId="62BCE8F4" w14:textId="3A18132F" w:rsidR="00D95CFD" w:rsidRPr="00071C70" w:rsidRDefault="00100C93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Pozyskanie decyzji o </w:t>
            </w:r>
            <w:r w:rsidR="00CE311F">
              <w:rPr>
                <w:rFonts w:ascii="Arial" w:hAnsi="Arial" w:cs="Arial"/>
                <w:color w:val="000000" w:themeColor="text1"/>
                <w:sz w:val="20"/>
                <w:szCs w:val="20"/>
              </w:rPr>
              <w:t>zapewnieniu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finansowania</w:t>
            </w:r>
            <w:r w:rsidR="00CE311F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071C70" w:rsidRPr="00071C70" w14:paraId="1C7137FB" w14:textId="77777777" w:rsidTr="00071C70">
        <w:tc>
          <w:tcPr>
            <w:tcW w:w="3265" w:type="dxa"/>
          </w:tcPr>
          <w:p w14:paraId="5F7836AD" w14:textId="2C14C80F" w:rsidR="00D95CFD" w:rsidRPr="00071C70" w:rsidRDefault="003C0D73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</w:t>
            </w:r>
            <w:proofErr w:type="spellStart"/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Vendorlock</w:t>
            </w:r>
            <w:proofErr w:type="spellEnd"/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związane z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uzależnieniem się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od jednego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dostawcy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oprogramowania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lub sprzętu, co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może stanowić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zagrożenie dla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dalszego rozwoju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systemu.</w:t>
            </w:r>
          </w:p>
        </w:tc>
        <w:tc>
          <w:tcPr>
            <w:tcW w:w="1697" w:type="dxa"/>
          </w:tcPr>
          <w:p w14:paraId="21D67E2A" w14:textId="289405EA" w:rsidR="00D95CFD" w:rsidRPr="00071C70" w:rsidRDefault="00617CF0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Mała</w:t>
            </w:r>
          </w:p>
        </w:tc>
        <w:tc>
          <w:tcPr>
            <w:tcW w:w="2126" w:type="dxa"/>
          </w:tcPr>
          <w:p w14:paraId="3CB2D9A4" w14:textId="33D18812" w:rsidR="00D95CFD" w:rsidRPr="00071C70" w:rsidRDefault="00617CF0" w:rsidP="00071C70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Znikome</w:t>
            </w:r>
          </w:p>
        </w:tc>
        <w:tc>
          <w:tcPr>
            <w:tcW w:w="2410" w:type="dxa"/>
          </w:tcPr>
          <w:p w14:paraId="34542DE3" w14:textId="632C9B92" w:rsidR="00D95CFD" w:rsidRPr="00071C70" w:rsidRDefault="0088098C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Ograniczanie ryzyka- w dokumentacji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przetargowej i zawartej na jej podstawie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umowie wprowadzone zostaną zapisy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zobowiązujące Wykonawcę Platformy do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przeniesienia na GIS jako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Zamawiającego wszelkich Praw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Własności Intelektualnej do Produktów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powstałych w wyniku realizacji umowy,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w najszerszym zakresie dozwolonym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przez prawo, bez jakichkolwiek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ograniczeń czasowych lub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terytorialnych. W przypadku, gdy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przeniesienie Praw Własności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Intelektualnej do Produktów będzie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dotyczyło autorskich praw majątkowych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lub praw pokrewnych, to obejmie ono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pola eksploatacji istniejące w chwili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przeniesienia.</w:t>
            </w:r>
          </w:p>
        </w:tc>
      </w:tr>
      <w:tr w:rsidR="00071C70" w:rsidRPr="00071C70" w14:paraId="3627964A" w14:textId="77777777" w:rsidTr="00071C70">
        <w:tc>
          <w:tcPr>
            <w:tcW w:w="3265" w:type="dxa"/>
          </w:tcPr>
          <w:p w14:paraId="1A0A102D" w14:textId="7529EA9D" w:rsidR="00D95CFD" w:rsidRPr="00071C70" w:rsidRDefault="003C0D73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Technologie open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source</w:t>
            </w:r>
            <w:proofErr w:type="spellEnd"/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- Ponieważ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produkty Projektu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mogą być oparte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na technologii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open </w:t>
            </w:r>
            <w:proofErr w:type="spellStart"/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source</w:t>
            </w:r>
            <w:proofErr w:type="spellEnd"/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istnieje ryzyko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zaprzestania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rozwoju czy też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wsparcia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technologii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open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source</w:t>
            </w:r>
            <w:proofErr w:type="spellEnd"/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co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spowoduje brak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kompatybilności z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innymi,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rozwijanymi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technologiami.</w:t>
            </w:r>
          </w:p>
        </w:tc>
        <w:tc>
          <w:tcPr>
            <w:tcW w:w="1697" w:type="dxa"/>
          </w:tcPr>
          <w:p w14:paraId="0F1B5130" w14:textId="239D6D2F" w:rsidR="00D95CFD" w:rsidRPr="00071C70" w:rsidRDefault="00617CF0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Mała</w:t>
            </w:r>
          </w:p>
        </w:tc>
        <w:tc>
          <w:tcPr>
            <w:tcW w:w="2126" w:type="dxa"/>
          </w:tcPr>
          <w:p w14:paraId="260652D0" w14:textId="29B8DBB5" w:rsidR="00D95CFD" w:rsidRPr="00071C70" w:rsidRDefault="00617CF0" w:rsidP="00071C70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Znikome</w:t>
            </w:r>
          </w:p>
        </w:tc>
        <w:tc>
          <w:tcPr>
            <w:tcW w:w="2410" w:type="dxa"/>
          </w:tcPr>
          <w:p w14:paraId="5BA3CE20" w14:textId="5BB2B44C" w:rsidR="00D95CFD" w:rsidRPr="00071C70" w:rsidRDefault="0088098C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Ograniczanie ryzyka - korzystanie z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oprogramowania Open Source w celu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wykonywania umowy, a zwłaszcza w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celu stworzenia Platformy, możliwe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będzie tylko wówczas, jeśli możliwe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będzie przeniesienie Praw Własności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Intelektualnej lub udzielenie licencji do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Produktów obejmie ono pola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eksploatacji istniejące w chwili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przeniesienia.</w:t>
            </w:r>
          </w:p>
        </w:tc>
      </w:tr>
      <w:tr w:rsidR="00071C70" w:rsidRPr="00071C70" w14:paraId="7C15F777" w14:textId="77777777" w:rsidTr="00071C70">
        <w:tc>
          <w:tcPr>
            <w:tcW w:w="3265" w:type="dxa"/>
          </w:tcPr>
          <w:p w14:paraId="6B07A875" w14:textId="3F72DBD7" w:rsidR="00093028" w:rsidRPr="00071C70" w:rsidRDefault="003C0D73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Bezpieczeństwo</w:t>
            </w:r>
            <w:r w:rsidR="00A97DAC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danych i ciągłość realizacji procesów</w:t>
            </w:r>
          </w:p>
        </w:tc>
        <w:tc>
          <w:tcPr>
            <w:tcW w:w="1697" w:type="dxa"/>
          </w:tcPr>
          <w:p w14:paraId="1FD68F6F" w14:textId="68901FD7" w:rsidR="00093028" w:rsidRPr="00071C70" w:rsidRDefault="00617CF0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Mała</w:t>
            </w:r>
          </w:p>
        </w:tc>
        <w:tc>
          <w:tcPr>
            <w:tcW w:w="2126" w:type="dxa"/>
          </w:tcPr>
          <w:p w14:paraId="054963C7" w14:textId="70E8E4BD" w:rsidR="00093028" w:rsidRPr="00071C70" w:rsidRDefault="00617CF0" w:rsidP="00071C70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Znikome</w:t>
            </w:r>
          </w:p>
        </w:tc>
        <w:tc>
          <w:tcPr>
            <w:tcW w:w="2410" w:type="dxa"/>
          </w:tcPr>
          <w:p w14:paraId="42C4CD11" w14:textId="55574DCB" w:rsidR="009E247E" w:rsidRPr="00071C70" w:rsidRDefault="009E247E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Ograniczanie ryzyka poprzez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zapewnienie właściwej jakości i bezpieczeństwa oprogramowania przez:</w:t>
            </w:r>
          </w:p>
          <w:p w14:paraId="62C46F58" w14:textId="3BA50771" w:rsidR="009E247E" w:rsidRPr="00071C70" w:rsidRDefault="009E247E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1. stosowanie technik i narzędzi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kontroli jakości,</w:t>
            </w:r>
          </w:p>
          <w:p w14:paraId="2211B510" w14:textId="04D84D94" w:rsidR="009E247E" w:rsidRPr="00071C70" w:rsidRDefault="009E247E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2. bieżącą weryfikację jakości i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bezpieczeństwa przez Inżyniera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Kontraktu</w:t>
            </w:r>
          </w:p>
          <w:p w14:paraId="6B858396" w14:textId="7721DB2B" w:rsidR="00093028" w:rsidRPr="00071C70" w:rsidRDefault="009E247E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3. przeprowadzenie niezależnego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audytu bezpieczeństwa.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Podczas projektowania i implementacji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Platformy analiza czynników mających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wpływ na jej bezpieczeństwo takich jak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zabezpieczenie przed przeciążeniem,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zabezpieczenie aplikacji przed awarią,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zabezpieczenie przed nieuprawnionym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dostępem, kontrola uprawnień,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monitorowanie działania aplikacji,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zapewnienie ciągłości działania,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bezpieczeństwo serwera aplikacji, testy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bezpieczeństwa, badania akceptacyjne,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testy penetracyjne.</w:t>
            </w:r>
          </w:p>
        </w:tc>
      </w:tr>
      <w:tr w:rsidR="00071C70" w:rsidRPr="00071C70" w14:paraId="0446DF62" w14:textId="77777777" w:rsidTr="00071C70">
        <w:tc>
          <w:tcPr>
            <w:tcW w:w="3265" w:type="dxa"/>
          </w:tcPr>
          <w:p w14:paraId="7CA4A567" w14:textId="16BA6B0A" w:rsidR="003C0D73" w:rsidRPr="00071C70" w:rsidRDefault="00CA304F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Brak skutecznej</w:t>
            </w:r>
            <w:r w:rsidR="00210E60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koordynacji</w:t>
            </w:r>
            <w:r w:rsidR="00210E60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ziałań</w:t>
            </w:r>
            <w:r w:rsidR="00210E60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projektowych</w:t>
            </w:r>
          </w:p>
        </w:tc>
        <w:tc>
          <w:tcPr>
            <w:tcW w:w="1697" w:type="dxa"/>
          </w:tcPr>
          <w:p w14:paraId="536A602B" w14:textId="6008D99A" w:rsidR="003C0D73" w:rsidRPr="00071C70" w:rsidRDefault="00617CF0" w:rsidP="00071C7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Średnia</w:t>
            </w:r>
          </w:p>
        </w:tc>
        <w:tc>
          <w:tcPr>
            <w:tcW w:w="2126" w:type="dxa"/>
          </w:tcPr>
          <w:p w14:paraId="32F84649" w14:textId="319C21B2" w:rsidR="003C0D73" w:rsidRPr="00071C70" w:rsidRDefault="00617CF0" w:rsidP="00071C70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Znikome</w:t>
            </w:r>
          </w:p>
        </w:tc>
        <w:tc>
          <w:tcPr>
            <w:tcW w:w="2410" w:type="dxa"/>
          </w:tcPr>
          <w:p w14:paraId="79AD313D" w14:textId="5433301C" w:rsidR="00D51470" w:rsidRPr="00071C70" w:rsidRDefault="004C0B38" w:rsidP="00071C7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Oddziaływanie na ryzyko- rozwijanie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kwalifikacji zarządczych kadry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uczestniczącej w zarządzaniu projektem.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14:paraId="602B0C9F" w14:textId="75B76B3C" w:rsidR="007337C9" w:rsidRDefault="007337C9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899D848" w14:textId="77777777" w:rsidR="007337C9" w:rsidRDefault="007337C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32F17F8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071C70" w:rsidRPr="00071C70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58FA8FE9" w:rsidR="0091332C" w:rsidRPr="00071C70" w:rsidRDefault="00036ABD" w:rsidP="00210E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braku</w:t>
            </w:r>
            <w:r w:rsidR="00210E60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abezpieczenia</w:t>
            </w:r>
            <w:r w:rsidR="00210E60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środków</w:t>
            </w:r>
            <w:r w:rsidR="00210E60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finansowych na</w:t>
            </w:r>
            <w:r w:rsidR="00210E60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utrzymanie</w:t>
            </w:r>
            <w:r w:rsidR="00210E60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systemu po jego</w:t>
            </w:r>
            <w:r w:rsidR="00210E60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wdrożeniu</w:t>
            </w:r>
          </w:p>
        </w:tc>
        <w:tc>
          <w:tcPr>
            <w:tcW w:w="1701" w:type="dxa"/>
            <w:shd w:val="clear" w:color="auto" w:fill="FFFFFF"/>
          </w:tcPr>
          <w:p w14:paraId="2F0B777F" w14:textId="08046506" w:rsidR="0091332C" w:rsidRPr="00071C70" w:rsidRDefault="002867B8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5F40333" w14:textId="3F3A260C" w:rsidR="0091332C" w:rsidRPr="00071C70" w:rsidRDefault="002867B8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5D2BA0FB" w14:textId="5CD12479" w:rsidR="0091332C" w:rsidRPr="00071C70" w:rsidRDefault="006A5CA3" w:rsidP="00071C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Oddziaływanie na ryzyko 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zaplanowanie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ś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rodków na utrzymanie systemu w</w:t>
            </w:r>
            <w:r w:rsidR="00071C70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budżecie GIS na kolejne lata</w:t>
            </w:r>
          </w:p>
        </w:tc>
      </w:tr>
      <w:tr w:rsidR="00071C70" w:rsidRPr="00071C70" w14:paraId="13155B2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8A4F70F" w14:textId="0D6F53B5" w:rsidR="00093028" w:rsidRPr="00071C70" w:rsidRDefault="00036ABD" w:rsidP="00210E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Awarie systemu i</w:t>
            </w:r>
            <w:r w:rsidR="00210E60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utrudnienie w</w:t>
            </w:r>
            <w:r w:rsidR="00210E60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przekazywaniu</w:t>
            </w:r>
            <w:r w:rsidR="00210E60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danych</w:t>
            </w:r>
          </w:p>
        </w:tc>
        <w:tc>
          <w:tcPr>
            <w:tcW w:w="1701" w:type="dxa"/>
            <w:shd w:val="clear" w:color="auto" w:fill="FFFFFF"/>
          </w:tcPr>
          <w:p w14:paraId="2BA6CC33" w14:textId="6DB88C55" w:rsidR="00093028" w:rsidRPr="00071C70" w:rsidRDefault="002867B8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38F47A86" w14:textId="545FFA6D" w:rsidR="00093028" w:rsidRPr="00071C70" w:rsidRDefault="002867B8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1C7C0C49" w14:textId="200A289A" w:rsidR="006A5CA3" w:rsidRPr="00071C70" w:rsidRDefault="006A5CA3" w:rsidP="006A5C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Oddziaływanie na ryzyko 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modułowe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160D30C9" w14:textId="5834D556" w:rsidR="00093028" w:rsidRPr="00071C70" w:rsidRDefault="006A5CA3" w:rsidP="00B673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wprowadzanie systemu tak aby możliwe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było szybkie identyfikowanie awarii.</w:t>
            </w:r>
          </w:p>
        </w:tc>
      </w:tr>
      <w:tr w:rsidR="00071C70" w:rsidRPr="00071C70" w14:paraId="11EF4D2C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0478341B" w14:textId="02EAFAFC" w:rsidR="00093028" w:rsidRPr="00071C70" w:rsidRDefault="002867B8" w:rsidP="00A107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braku</w:t>
            </w:r>
            <w:r w:rsidR="00A10723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miejętności</w:t>
            </w:r>
            <w:r w:rsidR="00A10723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efektywnego wykorzystywania</w:t>
            </w:r>
            <w:r w:rsidR="00A10723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funkcjonalności</w:t>
            </w:r>
            <w:r w:rsidR="00A10723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systemu</w:t>
            </w:r>
          </w:p>
        </w:tc>
        <w:tc>
          <w:tcPr>
            <w:tcW w:w="1701" w:type="dxa"/>
            <w:shd w:val="clear" w:color="auto" w:fill="FFFFFF"/>
          </w:tcPr>
          <w:p w14:paraId="127394E7" w14:textId="5BEC86CC" w:rsidR="00093028" w:rsidRPr="00071C70" w:rsidRDefault="002867B8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77241205" w14:textId="011709FC" w:rsidR="00093028" w:rsidRPr="00071C70" w:rsidRDefault="002867B8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071C70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173D27D6" w14:textId="77777777" w:rsidR="006A5CA3" w:rsidRPr="00071C70" w:rsidRDefault="006A5CA3" w:rsidP="006A5C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Oddziaływanie na ryzyko -</w:t>
            </w:r>
          </w:p>
          <w:p w14:paraId="3DD43B2F" w14:textId="6BDEDD37" w:rsidR="00093028" w:rsidRPr="00071C70" w:rsidRDefault="006A5CA3" w:rsidP="00B673B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przeprowadzenie szkoleń on-line z</w:t>
            </w:r>
            <w:r w:rsidR="00B673BD"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071C70">
              <w:rPr>
                <w:rFonts w:ascii="Arial" w:hAnsi="Arial" w:cs="Arial"/>
                <w:color w:val="000000" w:themeColor="text1"/>
                <w:sz w:val="20"/>
                <w:szCs w:val="20"/>
              </w:rPr>
              <w:t>zakresu użytkowania systemu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254902F7" w14:textId="77777777" w:rsidR="007168FB" w:rsidRPr="00071C70" w:rsidRDefault="007168FB" w:rsidP="007168FB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071C70">
        <w:rPr>
          <w:rFonts w:ascii="Arial" w:hAnsi="Arial" w:cs="Arial"/>
          <w:sz w:val="20"/>
          <w:szCs w:val="20"/>
        </w:rPr>
        <w:t>Nie dotyczy</w:t>
      </w:r>
    </w:p>
    <w:p w14:paraId="0FA2F07F" w14:textId="083C58E6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16EF1695" w14:textId="52B96579" w:rsidR="008956F5" w:rsidRPr="00071C70" w:rsidRDefault="008956F5" w:rsidP="00071C70">
      <w:pPr>
        <w:spacing w:after="0"/>
        <w:rPr>
          <w:rFonts w:ascii="Arial" w:hAnsi="Arial" w:cs="Arial"/>
          <w:sz w:val="20"/>
          <w:szCs w:val="20"/>
        </w:rPr>
      </w:pPr>
      <w:r w:rsidRPr="00071C70">
        <w:rPr>
          <w:rFonts w:ascii="Arial" w:hAnsi="Arial" w:cs="Arial"/>
          <w:sz w:val="20"/>
          <w:szCs w:val="20"/>
        </w:rPr>
        <w:t>Przemysław Rzodkiewicz, Zastępca Dyrektora, Departa</w:t>
      </w:r>
      <w:r w:rsidR="00FC69CF" w:rsidRPr="00071C70">
        <w:rPr>
          <w:rFonts w:ascii="Arial" w:hAnsi="Arial" w:cs="Arial"/>
          <w:sz w:val="20"/>
          <w:szCs w:val="20"/>
        </w:rPr>
        <w:t xml:space="preserve">ment Bezpieczeństwa </w:t>
      </w:r>
      <w:r w:rsidR="0015249A" w:rsidRPr="00071C70">
        <w:rPr>
          <w:rFonts w:ascii="Arial" w:hAnsi="Arial" w:cs="Arial"/>
          <w:sz w:val="20"/>
          <w:szCs w:val="20"/>
        </w:rPr>
        <w:t>Żywności</w:t>
      </w:r>
      <w:r w:rsidR="00FC69CF" w:rsidRPr="00071C70">
        <w:rPr>
          <w:rFonts w:ascii="Arial" w:hAnsi="Arial" w:cs="Arial"/>
          <w:sz w:val="20"/>
          <w:szCs w:val="20"/>
        </w:rPr>
        <w:t xml:space="preserve"> i Żywienia</w:t>
      </w:r>
      <w:r w:rsidRPr="00071C70">
        <w:rPr>
          <w:rFonts w:ascii="Arial" w:hAnsi="Arial" w:cs="Arial"/>
          <w:sz w:val="20"/>
          <w:szCs w:val="20"/>
        </w:rPr>
        <w:t xml:space="preserve">, </w:t>
      </w:r>
      <w:r w:rsidRPr="00071C70">
        <w:rPr>
          <w:rFonts w:ascii="Arial" w:hAnsi="Arial" w:cs="Arial"/>
          <w:sz w:val="20"/>
          <w:szCs w:val="20"/>
        </w:rPr>
        <w:br/>
      </w:r>
      <w:r w:rsidR="00FC69CF" w:rsidRPr="00071C70">
        <w:rPr>
          <w:rFonts w:ascii="Arial" w:hAnsi="Arial" w:cs="Arial"/>
          <w:sz w:val="20"/>
          <w:szCs w:val="20"/>
        </w:rPr>
        <w:t>Główny Inspektorat Sanitarny</w:t>
      </w:r>
    </w:p>
    <w:p w14:paraId="674DE7D6" w14:textId="5CE1210A" w:rsidR="00FC69CF" w:rsidRPr="00071C70" w:rsidRDefault="008956F5" w:rsidP="00071C70">
      <w:pPr>
        <w:spacing w:after="0"/>
        <w:rPr>
          <w:rFonts w:ascii="Arial" w:hAnsi="Arial" w:cs="Arial"/>
          <w:sz w:val="20"/>
          <w:szCs w:val="20"/>
          <w:lang w:val="en-GB"/>
        </w:rPr>
      </w:pPr>
      <w:r w:rsidRPr="00071C70">
        <w:rPr>
          <w:rFonts w:ascii="Arial" w:hAnsi="Arial" w:cs="Arial"/>
          <w:sz w:val="20"/>
          <w:szCs w:val="20"/>
          <w:lang w:val="en-GB"/>
        </w:rPr>
        <w:t xml:space="preserve">tel. </w:t>
      </w:r>
      <w:proofErr w:type="spellStart"/>
      <w:r w:rsidRPr="00071C70">
        <w:rPr>
          <w:rFonts w:ascii="Arial" w:hAnsi="Arial" w:cs="Arial"/>
          <w:sz w:val="20"/>
          <w:szCs w:val="20"/>
          <w:lang w:val="en-GB"/>
        </w:rPr>
        <w:t>kom</w:t>
      </w:r>
      <w:proofErr w:type="spellEnd"/>
      <w:r w:rsidRPr="00071C70">
        <w:rPr>
          <w:rFonts w:ascii="Arial" w:hAnsi="Arial" w:cs="Arial"/>
          <w:sz w:val="20"/>
          <w:szCs w:val="20"/>
          <w:lang w:val="en-GB"/>
        </w:rPr>
        <w:t>. +48</w:t>
      </w:r>
      <w:r w:rsidR="00BF57D0" w:rsidRPr="00071C70">
        <w:rPr>
          <w:rFonts w:ascii="Arial" w:hAnsi="Arial" w:cs="Arial"/>
          <w:sz w:val="20"/>
          <w:szCs w:val="20"/>
          <w:lang w:val="en-GB"/>
        </w:rPr>
        <w:t> 538</w:t>
      </w:r>
      <w:r w:rsidR="0015249A" w:rsidRPr="00071C70">
        <w:rPr>
          <w:rFonts w:ascii="Arial" w:hAnsi="Arial" w:cs="Arial"/>
          <w:sz w:val="20"/>
          <w:szCs w:val="20"/>
          <w:lang w:val="en-GB"/>
        </w:rPr>
        <w:t> </w:t>
      </w:r>
      <w:r w:rsidR="00BF57D0" w:rsidRPr="00071C70">
        <w:rPr>
          <w:rFonts w:ascii="Arial" w:hAnsi="Arial" w:cs="Arial"/>
          <w:sz w:val="20"/>
          <w:szCs w:val="20"/>
          <w:lang w:val="en-GB"/>
        </w:rPr>
        <w:t>895</w:t>
      </w:r>
      <w:r w:rsidR="0015249A" w:rsidRPr="00071C70">
        <w:rPr>
          <w:rFonts w:ascii="Arial" w:hAnsi="Arial" w:cs="Arial"/>
          <w:sz w:val="20"/>
          <w:szCs w:val="20"/>
          <w:lang w:val="en-GB"/>
        </w:rPr>
        <w:t xml:space="preserve"> 188</w:t>
      </w:r>
    </w:p>
    <w:p w14:paraId="5ACC80B6" w14:textId="57201F96" w:rsidR="00A92887" w:rsidRPr="00071C70" w:rsidRDefault="008956F5" w:rsidP="00071C70">
      <w:pPr>
        <w:spacing w:after="0"/>
        <w:rPr>
          <w:rFonts w:ascii="Arial" w:hAnsi="Arial" w:cs="Arial"/>
          <w:sz w:val="20"/>
          <w:szCs w:val="20"/>
          <w:lang w:val="en-GB"/>
        </w:rPr>
      </w:pPr>
      <w:r w:rsidRPr="00071C70">
        <w:rPr>
          <w:rFonts w:ascii="Arial" w:hAnsi="Arial" w:cs="Arial"/>
          <w:sz w:val="20"/>
          <w:szCs w:val="20"/>
          <w:lang w:val="en-GB"/>
        </w:rPr>
        <w:t xml:space="preserve">e-mail: </w:t>
      </w:r>
      <w:hyperlink r:id="rId8" w:history="1">
        <w:r w:rsidR="00CD6FF6" w:rsidRPr="00071C70">
          <w:rPr>
            <w:rStyle w:val="Hipercze"/>
            <w:rFonts w:ascii="Arial" w:hAnsi="Arial" w:cs="Arial"/>
            <w:sz w:val="20"/>
            <w:szCs w:val="20"/>
            <w:lang w:val="en-GB"/>
          </w:rPr>
          <w:t>p.rzodkiewicz@gis.gov.pl</w:t>
        </w:r>
      </w:hyperlink>
    </w:p>
    <w:sectPr w:rsidR="00A92887" w:rsidRPr="00071C70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273ED9" w14:textId="77777777" w:rsidR="00E3719E" w:rsidRDefault="00E3719E" w:rsidP="00BB2420">
      <w:pPr>
        <w:spacing w:after="0" w:line="240" w:lineRule="auto"/>
      </w:pPr>
      <w:r>
        <w:separator/>
      </w:r>
    </w:p>
  </w:endnote>
  <w:endnote w:type="continuationSeparator" w:id="0">
    <w:p w14:paraId="767C3F8D" w14:textId="77777777" w:rsidR="00E3719E" w:rsidRDefault="00E3719E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7B2AA93A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167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A73AC">
              <w:rPr>
                <w:b/>
                <w:bCs/>
                <w:noProof/>
              </w:rPr>
              <w:t>8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B544BA" w14:textId="77777777" w:rsidR="00E3719E" w:rsidRDefault="00E3719E" w:rsidP="00BB2420">
      <w:pPr>
        <w:spacing w:after="0" w:line="240" w:lineRule="auto"/>
      </w:pPr>
      <w:r>
        <w:separator/>
      </w:r>
    </w:p>
  </w:footnote>
  <w:footnote w:type="continuationSeparator" w:id="0">
    <w:p w14:paraId="28FFE08A" w14:textId="77777777" w:rsidR="00E3719E" w:rsidRDefault="00E3719E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A2981"/>
    <w:multiLevelType w:val="hybridMultilevel"/>
    <w:tmpl w:val="D19017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16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oNotDisplayPageBoundaries/>
  <w:proofState w:spelling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cwNDA2NrU0sDCwNDZQ0lEKTi0uzszPAykwqQUAsnpYnCwAAAA="/>
  </w:docVars>
  <w:rsids>
    <w:rsidRoot w:val="005A1B30"/>
    <w:rsid w:val="00003CB0"/>
    <w:rsid w:val="00006E59"/>
    <w:rsid w:val="0001545A"/>
    <w:rsid w:val="00030911"/>
    <w:rsid w:val="00033023"/>
    <w:rsid w:val="00036ABD"/>
    <w:rsid w:val="00043DD9"/>
    <w:rsid w:val="00044D68"/>
    <w:rsid w:val="00047D9D"/>
    <w:rsid w:val="0006403E"/>
    <w:rsid w:val="00070663"/>
    <w:rsid w:val="00071880"/>
    <w:rsid w:val="00071C70"/>
    <w:rsid w:val="00084E5B"/>
    <w:rsid w:val="00087231"/>
    <w:rsid w:val="00090B6F"/>
    <w:rsid w:val="00093028"/>
    <w:rsid w:val="00095944"/>
    <w:rsid w:val="000A1DFB"/>
    <w:rsid w:val="000A2F32"/>
    <w:rsid w:val="000A3938"/>
    <w:rsid w:val="000A5435"/>
    <w:rsid w:val="000B059E"/>
    <w:rsid w:val="000B3E49"/>
    <w:rsid w:val="000B74E8"/>
    <w:rsid w:val="000D385F"/>
    <w:rsid w:val="000E0060"/>
    <w:rsid w:val="000E1828"/>
    <w:rsid w:val="000E2451"/>
    <w:rsid w:val="000E4BF8"/>
    <w:rsid w:val="000F20A9"/>
    <w:rsid w:val="000F307B"/>
    <w:rsid w:val="000F30B9"/>
    <w:rsid w:val="00100893"/>
    <w:rsid w:val="00100C93"/>
    <w:rsid w:val="0011693F"/>
    <w:rsid w:val="00122251"/>
    <w:rsid w:val="00122388"/>
    <w:rsid w:val="00124C3D"/>
    <w:rsid w:val="001309CA"/>
    <w:rsid w:val="00134D2B"/>
    <w:rsid w:val="00141A92"/>
    <w:rsid w:val="001441D4"/>
    <w:rsid w:val="00145E84"/>
    <w:rsid w:val="0015102C"/>
    <w:rsid w:val="0015249A"/>
    <w:rsid w:val="00153381"/>
    <w:rsid w:val="00176FBB"/>
    <w:rsid w:val="0018042D"/>
    <w:rsid w:val="00181E97"/>
    <w:rsid w:val="00182A08"/>
    <w:rsid w:val="00187FC0"/>
    <w:rsid w:val="001A2EF2"/>
    <w:rsid w:val="001B5EDC"/>
    <w:rsid w:val="001C2D74"/>
    <w:rsid w:val="001C7FAC"/>
    <w:rsid w:val="001D167C"/>
    <w:rsid w:val="001E0CAC"/>
    <w:rsid w:val="001E16A3"/>
    <w:rsid w:val="001E1DEA"/>
    <w:rsid w:val="001E7199"/>
    <w:rsid w:val="001F24A0"/>
    <w:rsid w:val="001F4F9A"/>
    <w:rsid w:val="001F67EC"/>
    <w:rsid w:val="002026C9"/>
    <w:rsid w:val="0020330A"/>
    <w:rsid w:val="00210E60"/>
    <w:rsid w:val="00237279"/>
    <w:rsid w:val="00240D69"/>
    <w:rsid w:val="00241B5E"/>
    <w:rsid w:val="00247663"/>
    <w:rsid w:val="00252087"/>
    <w:rsid w:val="00263392"/>
    <w:rsid w:val="00265194"/>
    <w:rsid w:val="00276C00"/>
    <w:rsid w:val="00277E09"/>
    <w:rsid w:val="002825F1"/>
    <w:rsid w:val="00286412"/>
    <w:rsid w:val="002867B8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131AE"/>
    <w:rsid w:val="003221F2"/>
    <w:rsid w:val="00322614"/>
    <w:rsid w:val="00334A24"/>
    <w:rsid w:val="003410FE"/>
    <w:rsid w:val="003508E7"/>
    <w:rsid w:val="003542F1"/>
    <w:rsid w:val="00356A3E"/>
    <w:rsid w:val="003642B8"/>
    <w:rsid w:val="003702BA"/>
    <w:rsid w:val="00386DC9"/>
    <w:rsid w:val="00392919"/>
    <w:rsid w:val="003946AC"/>
    <w:rsid w:val="00396C84"/>
    <w:rsid w:val="003A4115"/>
    <w:rsid w:val="003B5B7A"/>
    <w:rsid w:val="003C0D73"/>
    <w:rsid w:val="003C47A4"/>
    <w:rsid w:val="003C7325"/>
    <w:rsid w:val="003C7A59"/>
    <w:rsid w:val="003D7DD0"/>
    <w:rsid w:val="003E3144"/>
    <w:rsid w:val="00405EA4"/>
    <w:rsid w:val="0041034F"/>
    <w:rsid w:val="004118A3"/>
    <w:rsid w:val="00420B82"/>
    <w:rsid w:val="00423A26"/>
    <w:rsid w:val="00425046"/>
    <w:rsid w:val="004350B8"/>
    <w:rsid w:val="00444AAB"/>
    <w:rsid w:val="00450089"/>
    <w:rsid w:val="00466EB1"/>
    <w:rsid w:val="004729D1"/>
    <w:rsid w:val="00473B58"/>
    <w:rsid w:val="004809EF"/>
    <w:rsid w:val="00494321"/>
    <w:rsid w:val="004B4AE1"/>
    <w:rsid w:val="004C0B38"/>
    <w:rsid w:val="004C1D48"/>
    <w:rsid w:val="004D1048"/>
    <w:rsid w:val="004D269E"/>
    <w:rsid w:val="004D65CA"/>
    <w:rsid w:val="004F6E89"/>
    <w:rsid w:val="00504B06"/>
    <w:rsid w:val="005076A1"/>
    <w:rsid w:val="00513213"/>
    <w:rsid w:val="00517F12"/>
    <w:rsid w:val="0052102C"/>
    <w:rsid w:val="005212C8"/>
    <w:rsid w:val="00521CD7"/>
    <w:rsid w:val="00524E6C"/>
    <w:rsid w:val="005332D6"/>
    <w:rsid w:val="00544DFE"/>
    <w:rsid w:val="005548F2"/>
    <w:rsid w:val="005734CE"/>
    <w:rsid w:val="00581AAA"/>
    <w:rsid w:val="005840AB"/>
    <w:rsid w:val="00586664"/>
    <w:rsid w:val="00593290"/>
    <w:rsid w:val="005A0E33"/>
    <w:rsid w:val="005A12F7"/>
    <w:rsid w:val="005A1B30"/>
    <w:rsid w:val="005B1A32"/>
    <w:rsid w:val="005B7464"/>
    <w:rsid w:val="005C0469"/>
    <w:rsid w:val="005C6116"/>
    <w:rsid w:val="005C77BB"/>
    <w:rsid w:val="005D17CF"/>
    <w:rsid w:val="005D24AF"/>
    <w:rsid w:val="005D5AAB"/>
    <w:rsid w:val="005D6E12"/>
    <w:rsid w:val="005E0ED8"/>
    <w:rsid w:val="005E3BBE"/>
    <w:rsid w:val="005E6ABD"/>
    <w:rsid w:val="005F41FA"/>
    <w:rsid w:val="00600AE4"/>
    <w:rsid w:val="006054AA"/>
    <w:rsid w:val="0060779A"/>
    <w:rsid w:val="00617CF0"/>
    <w:rsid w:val="0062054D"/>
    <w:rsid w:val="006334BF"/>
    <w:rsid w:val="00635A54"/>
    <w:rsid w:val="00661A62"/>
    <w:rsid w:val="00672B5F"/>
    <w:rsid w:val="006731D9"/>
    <w:rsid w:val="006822BC"/>
    <w:rsid w:val="006948D3"/>
    <w:rsid w:val="006A5CA3"/>
    <w:rsid w:val="006A60AA"/>
    <w:rsid w:val="006B034F"/>
    <w:rsid w:val="006B5117"/>
    <w:rsid w:val="006C78AE"/>
    <w:rsid w:val="006E06FE"/>
    <w:rsid w:val="006E0CFA"/>
    <w:rsid w:val="006E6205"/>
    <w:rsid w:val="006F0DBA"/>
    <w:rsid w:val="00701800"/>
    <w:rsid w:val="00704D5D"/>
    <w:rsid w:val="007111A9"/>
    <w:rsid w:val="007168FB"/>
    <w:rsid w:val="00725708"/>
    <w:rsid w:val="007337C9"/>
    <w:rsid w:val="0073691A"/>
    <w:rsid w:val="00740A47"/>
    <w:rsid w:val="00746ABD"/>
    <w:rsid w:val="0077418F"/>
    <w:rsid w:val="00775C44"/>
    <w:rsid w:val="00776802"/>
    <w:rsid w:val="0078594B"/>
    <w:rsid w:val="007924CE"/>
    <w:rsid w:val="00795AFA"/>
    <w:rsid w:val="007A4742"/>
    <w:rsid w:val="007B0251"/>
    <w:rsid w:val="007B77B9"/>
    <w:rsid w:val="007C2503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7F34DD"/>
    <w:rsid w:val="00803FBE"/>
    <w:rsid w:val="00805178"/>
    <w:rsid w:val="0080530D"/>
    <w:rsid w:val="00806134"/>
    <w:rsid w:val="00830B70"/>
    <w:rsid w:val="00840749"/>
    <w:rsid w:val="00847A84"/>
    <w:rsid w:val="0087452F"/>
    <w:rsid w:val="00875528"/>
    <w:rsid w:val="0088098C"/>
    <w:rsid w:val="00884686"/>
    <w:rsid w:val="008956F5"/>
    <w:rsid w:val="008A332F"/>
    <w:rsid w:val="008A52F6"/>
    <w:rsid w:val="008A73AC"/>
    <w:rsid w:val="008C4BCD"/>
    <w:rsid w:val="008C6721"/>
    <w:rsid w:val="008C7325"/>
    <w:rsid w:val="008D2436"/>
    <w:rsid w:val="008D3826"/>
    <w:rsid w:val="008F2D9B"/>
    <w:rsid w:val="008F67EE"/>
    <w:rsid w:val="00907F6D"/>
    <w:rsid w:val="00911190"/>
    <w:rsid w:val="0091332C"/>
    <w:rsid w:val="009256F2"/>
    <w:rsid w:val="00931F5A"/>
    <w:rsid w:val="00933BEC"/>
    <w:rsid w:val="009347B8"/>
    <w:rsid w:val="00936729"/>
    <w:rsid w:val="0095183B"/>
    <w:rsid w:val="00952126"/>
    <w:rsid w:val="00952617"/>
    <w:rsid w:val="00962DC4"/>
    <w:rsid w:val="009663A6"/>
    <w:rsid w:val="00971267"/>
    <w:rsid w:val="00971A40"/>
    <w:rsid w:val="00976434"/>
    <w:rsid w:val="00992EA3"/>
    <w:rsid w:val="009967CA"/>
    <w:rsid w:val="009A17FF"/>
    <w:rsid w:val="009B2347"/>
    <w:rsid w:val="009B4423"/>
    <w:rsid w:val="009C6140"/>
    <w:rsid w:val="009D2FA4"/>
    <w:rsid w:val="009D7D8A"/>
    <w:rsid w:val="009E247E"/>
    <w:rsid w:val="009E4C67"/>
    <w:rsid w:val="009F09BF"/>
    <w:rsid w:val="009F1DC8"/>
    <w:rsid w:val="009F437E"/>
    <w:rsid w:val="00A0046E"/>
    <w:rsid w:val="00A10723"/>
    <w:rsid w:val="00A11788"/>
    <w:rsid w:val="00A273D7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97DAC"/>
    <w:rsid w:val="00AA4CAB"/>
    <w:rsid w:val="00AA51AD"/>
    <w:rsid w:val="00AA730D"/>
    <w:rsid w:val="00AB2E01"/>
    <w:rsid w:val="00AB516E"/>
    <w:rsid w:val="00AB77BA"/>
    <w:rsid w:val="00AC44BC"/>
    <w:rsid w:val="00AC7E26"/>
    <w:rsid w:val="00AD16FE"/>
    <w:rsid w:val="00AD3C44"/>
    <w:rsid w:val="00AD45BB"/>
    <w:rsid w:val="00AE1643"/>
    <w:rsid w:val="00AE3A6C"/>
    <w:rsid w:val="00AF09B8"/>
    <w:rsid w:val="00AF4F18"/>
    <w:rsid w:val="00AF567D"/>
    <w:rsid w:val="00B01983"/>
    <w:rsid w:val="00B06A64"/>
    <w:rsid w:val="00B17709"/>
    <w:rsid w:val="00B23828"/>
    <w:rsid w:val="00B27EE9"/>
    <w:rsid w:val="00B32F44"/>
    <w:rsid w:val="00B41415"/>
    <w:rsid w:val="00B440C3"/>
    <w:rsid w:val="00B46B7D"/>
    <w:rsid w:val="00B50560"/>
    <w:rsid w:val="00B5532F"/>
    <w:rsid w:val="00B57BCE"/>
    <w:rsid w:val="00B64B3C"/>
    <w:rsid w:val="00B67232"/>
    <w:rsid w:val="00B673BD"/>
    <w:rsid w:val="00B673C6"/>
    <w:rsid w:val="00B72772"/>
    <w:rsid w:val="00B74859"/>
    <w:rsid w:val="00B77705"/>
    <w:rsid w:val="00B87D3D"/>
    <w:rsid w:val="00B91243"/>
    <w:rsid w:val="00BA481C"/>
    <w:rsid w:val="00BB059E"/>
    <w:rsid w:val="00BB18FD"/>
    <w:rsid w:val="00BB2420"/>
    <w:rsid w:val="00BB3748"/>
    <w:rsid w:val="00BB49AC"/>
    <w:rsid w:val="00BB5ACE"/>
    <w:rsid w:val="00BC1BD2"/>
    <w:rsid w:val="00BC304D"/>
    <w:rsid w:val="00BC6BE4"/>
    <w:rsid w:val="00BE47CD"/>
    <w:rsid w:val="00BE5BF9"/>
    <w:rsid w:val="00BF57D0"/>
    <w:rsid w:val="00C013F5"/>
    <w:rsid w:val="00C1106C"/>
    <w:rsid w:val="00C133C1"/>
    <w:rsid w:val="00C1647B"/>
    <w:rsid w:val="00C202DB"/>
    <w:rsid w:val="00C26361"/>
    <w:rsid w:val="00C302F1"/>
    <w:rsid w:val="00C3575F"/>
    <w:rsid w:val="00C42AEA"/>
    <w:rsid w:val="00C47D8C"/>
    <w:rsid w:val="00C50CB8"/>
    <w:rsid w:val="00C50D68"/>
    <w:rsid w:val="00C57985"/>
    <w:rsid w:val="00C6751B"/>
    <w:rsid w:val="00C90A16"/>
    <w:rsid w:val="00CA304F"/>
    <w:rsid w:val="00CA516B"/>
    <w:rsid w:val="00CC7E21"/>
    <w:rsid w:val="00CD5718"/>
    <w:rsid w:val="00CD6FF6"/>
    <w:rsid w:val="00CE311F"/>
    <w:rsid w:val="00CE74F9"/>
    <w:rsid w:val="00CE7777"/>
    <w:rsid w:val="00CF2E64"/>
    <w:rsid w:val="00D02F6D"/>
    <w:rsid w:val="00D22C21"/>
    <w:rsid w:val="00D23C25"/>
    <w:rsid w:val="00D251F1"/>
    <w:rsid w:val="00D25CFE"/>
    <w:rsid w:val="00D308A9"/>
    <w:rsid w:val="00D30D48"/>
    <w:rsid w:val="00D35093"/>
    <w:rsid w:val="00D4607F"/>
    <w:rsid w:val="00D51470"/>
    <w:rsid w:val="00D57025"/>
    <w:rsid w:val="00D57765"/>
    <w:rsid w:val="00D77F50"/>
    <w:rsid w:val="00D859F4"/>
    <w:rsid w:val="00D85A52"/>
    <w:rsid w:val="00D86FEC"/>
    <w:rsid w:val="00D95CFD"/>
    <w:rsid w:val="00D966FF"/>
    <w:rsid w:val="00DA34DF"/>
    <w:rsid w:val="00DB1E3A"/>
    <w:rsid w:val="00DB69FD"/>
    <w:rsid w:val="00DC0A8A"/>
    <w:rsid w:val="00DC1705"/>
    <w:rsid w:val="00DC39A9"/>
    <w:rsid w:val="00DC4C79"/>
    <w:rsid w:val="00DC540E"/>
    <w:rsid w:val="00DD1E33"/>
    <w:rsid w:val="00DE6249"/>
    <w:rsid w:val="00DE731D"/>
    <w:rsid w:val="00E0076D"/>
    <w:rsid w:val="00E11B44"/>
    <w:rsid w:val="00E15DEB"/>
    <w:rsid w:val="00E1688D"/>
    <w:rsid w:val="00E203EB"/>
    <w:rsid w:val="00E35401"/>
    <w:rsid w:val="00E3719E"/>
    <w:rsid w:val="00E375DB"/>
    <w:rsid w:val="00E42938"/>
    <w:rsid w:val="00E47508"/>
    <w:rsid w:val="00E55EB0"/>
    <w:rsid w:val="00E57BB7"/>
    <w:rsid w:val="00E61CB0"/>
    <w:rsid w:val="00E67ABD"/>
    <w:rsid w:val="00E71256"/>
    <w:rsid w:val="00E71BCF"/>
    <w:rsid w:val="00E81D7C"/>
    <w:rsid w:val="00E83FA4"/>
    <w:rsid w:val="00E86020"/>
    <w:rsid w:val="00E938E4"/>
    <w:rsid w:val="00E97220"/>
    <w:rsid w:val="00EA0B4F"/>
    <w:rsid w:val="00EB00AB"/>
    <w:rsid w:val="00EC2AFC"/>
    <w:rsid w:val="00EF411B"/>
    <w:rsid w:val="00EF50D0"/>
    <w:rsid w:val="00F0380C"/>
    <w:rsid w:val="00F06E56"/>
    <w:rsid w:val="00F138F7"/>
    <w:rsid w:val="00F2008A"/>
    <w:rsid w:val="00F21D9E"/>
    <w:rsid w:val="00F25348"/>
    <w:rsid w:val="00F37569"/>
    <w:rsid w:val="00F45506"/>
    <w:rsid w:val="00F57F95"/>
    <w:rsid w:val="00F60062"/>
    <w:rsid w:val="00F613CC"/>
    <w:rsid w:val="00F74246"/>
    <w:rsid w:val="00F76777"/>
    <w:rsid w:val="00F8005E"/>
    <w:rsid w:val="00F83F2F"/>
    <w:rsid w:val="00F86555"/>
    <w:rsid w:val="00F86C58"/>
    <w:rsid w:val="00F9554E"/>
    <w:rsid w:val="00FC30C7"/>
    <w:rsid w:val="00FC3B03"/>
    <w:rsid w:val="00FC69CF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8956F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D6F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rzodkiewicz@gi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95B1B-4435-48A7-BDB9-ED2441290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1435</Words>
  <Characters>8616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2020-05-20T09:42:00Z</dcterms:created>
  <dcterms:modified xsi:type="dcterms:W3CDTF">2020-10-15T05:06:00Z</dcterms:modified>
</cp:coreProperties>
</file>